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8222" w14:textId="3A54A407" w:rsidR="009233BE" w:rsidRPr="003D4062" w:rsidRDefault="009233BE" w:rsidP="009233BE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Prilog 2. </w:t>
      </w:r>
      <w:r w:rsidRPr="003D4062">
        <w:rPr>
          <w:rFonts w:ascii="Arial" w:hAnsi="Arial" w:cs="Arial"/>
          <w:b/>
          <w:bCs/>
        </w:rPr>
        <w:t>VERIFIKACIJA</w:t>
      </w:r>
      <w:r>
        <w:rPr>
          <w:rFonts w:ascii="Arial" w:hAnsi="Arial" w:cs="Arial"/>
          <w:b/>
          <w:bCs/>
        </w:rPr>
        <w:t xml:space="preserve"> MIKROBIOLOŠKIH </w:t>
      </w:r>
      <w:r w:rsidRPr="003D4062">
        <w:rPr>
          <w:rFonts w:ascii="Arial" w:hAnsi="Arial" w:cs="Arial"/>
          <w:b/>
          <w:bCs/>
        </w:rPr>
        <w:t>METODA S IZVEDBENIM KARAKTERISTIKAMA</w:t>
      </w:r>
    </w:p>
    <w:p w14:paraId="71BA0926" w14:textId="1122E5EA" w:rsidR="00AA6848" w:rsidRDefault="00AA6848" w:rsidP="00AA6848">
      <w:pPr>
        <w:pStyle w:val="ListParagraph"/>
        <w:rPr>
          <w:rFonts w:ascii="Arial" w:hAnsi="Arial" w:cs="Arial"/>
          <w:b/>
          <w:bCs/>
        </w:rPr>
      </w:pPr>
    </w:p>
    <w:p w14:paraId="02DB08BF" w14:textId="27EB267C" w:rsidR="009233BE" w:rsidRDefault="009233BE" w:rsidP="00AA6848">
      <w:pPr>
        <w:pStyle w:val="ListParagraph"/>
        <w:rPr>
          <w:rFonts w:ascii="Arial" w:hAnsi="Arial" w:cs="Arial"/>
          <w:b/>
          <w:bCs/>
        </w:rPr>
      </w:pPr>
    </w:p>
    <w:p w14:paraId="03302524" w14:textId="77777777" w:rsidR="009233BE" w:rsidRDefault="009233BE" w:rsidP="00AA6848">
      <w:pPr>
        <w:pStyle w:val="ListParagraph"/>
        <w:rPr>
          <w:rFonts w:ascii="Arial" w:hAnsi="Arial" w:cs="Arial"/>
          <w:b/>
          <w:bCs/>
        </w:rPr>
      </w:pPr>
    </w:p>
    <w:p w14:paraId="53FB8EB9" w14:textId="46A37624" w:rsidR="00D97813" w:rsidRDefault="00D97813" w:rsidP="00D9781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CERTIFICIRANI REFERENTNI SOJEVI I </w:t>
      </w:r>
      <w:r w:rsidR="00B15C52">
        <w:rPr>
          <w:rFonts w:ascii="Arial" w:hAnsi="Arial" w:cs="Arial"/>
          <w:b/>
          <w:bCs/>
        </w:rPr>
        <w:t xml:space="preserve">IZVEDBENI </w:t>
      </w:r>
      <w:r>
        <w:rPr>
          <w:rFonts w:ascii="Arial" w:hAnsi="Arial" w:cs="Arial"/>
          <w:b/>
          <w:bCs/>
        </w:rPr>
        <w:t xml:space="preserve">KRITERIJI </w:t>
      </w:r>
      <w:r w:rsidR="00B15C52">
        <w:rPr>
          <w:rFonts w:ascii="Arial" w:hAnsi="Arial" w:cs="Arial"/>
          <w:b/>
          <w:bCs/>
        </w:rPr>
        <w:t>VERIFIKACIJE</w:t>
      </w:r>
    </w:p>
    <w:p w14:paraId="749F2645" w14:textId="77777777" w:rsidR="00D97813" w:rsidRDefault="00D97813" w:rsidP="00D97813">
      <w:pPr>
        <w:pStyle w:val="ListParagraph"/>
        <w:rPr>
          <w:rFonts w:ascii="Arial" w:hAnsi="Arial" w:cs="Arial"/>
          <w:b/>
          <w:bCs/>
        </w:rPr>
      </w:pPr>
    </w:p>
    <w:p w14:paraId="188C27D2" w14:textId="525350C1" w:rsidR="00D97813" w:rsidRPr="00344E93" w:rsidRDefault="00D97813" w:rsidP="00D97813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</w:rPr>
      </w:pPr>
      <w:r w:rsidRPr="00344E93">
        <w:rPr>
          <w:rFonts w:ascii="Arial" w:hAnsi="Arial" w:cs="Arial"/>
          <w:b/>
          <w:bCs/>
        </w:rPr>
        <w:t>Certificirani referentni sojevi</w:t>
      </w:r>
      <w:r w:rsidR="00CA249F">
        <w:rPr>
          <w:rFonts w:ascii="Arial" w:hAnsi="Arial" w:cs="Arial"/>
          <w:b/>
          <w:bCs/>
        </w:rPr>
        <w:t xml:space="preserve"> i referentni sojevi</w:t>
      </w:r>
    </w:p>
    <w:p w14:paraId="53E0556A" w14:textId="77777777" w:rsidR="00D97813" w:rsidRPr="00037E28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</w:p>
    <w:p w14:paraId="6039B134" w14:textId="5EC910A7" w:rsidR="00D97813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 w:rsidRPr="002F364B">
        <w:rPr>
          <w:rFonts w:ascii="Arial" w:hAnsi="Arial" w:cs="Arial"/>
        </w:rPr>
        <w:t xml:space="preserve">Referentni sojevi su mikroorganizmi </w:t>
      </w:r>
      <w:r w:rsidR="00CA249F">
        <w:rPr>
          <w:rFonts w:ascii="Arial" w:hAnsi="Arial" w:cs="Arial"/>
        </w:rPr>
        <w:t xml:space="preserve">koji se koriste </w:t>
      </w:r>
      <w:r w:rsidRPr="002F364B">
        <w:rPr>
          <w:rFonts w:ascii="Arial" w:hAnsi="Arial" w:cs="Arial"/>
        </w:rPr>
        <w:t xml:space="preserve"> za ispitivanje unutar pojedine metode odnosno postupka ispitivanja. Referentne sojeve je važno održati stabilnima stoga je od iznimne važnosti odrediti uvjete za skladištenje tih mikroorganizama. Soj se kultivira i sprema u  duboko zamrzavanje</w:t>
      </w:r>
      <w:r w:rsidR="00CA249F">
        <w:rPr>
          <w:rFonts w:ascii="Arial" w:hAnsi="Arial" w:cs="Arial"/>
        </w:rPr>
        <w:t xml:space="preserve"> (24 satna kultura u TSB s 20% </w:t>
      </w:r>
      <w:proofErr w:type="spellStart"/>
      <w:r w:rsidR="00CA249F">
        <w:rPr>
          <w:rFonts w:ascii="Arial" w:hAnsi="Arial" w:cs="Arial"/>
        </w:rPr>
        <w:t>glicerolom</w:t>
      </w:r>
      <w:proofErr w:type="spellEnd"/>
      <w:r w:rsidR="00CA249F">
        <w:rPr>
          <w:rFonts w:ascii="Arial" w:hAnsi="Arial" w:cs="Arial"/>
        </w:rPr>
        <w:t>) ili koristeći</w:t>
      </w:r>
      <w:r w:rsidR="00B96B95">
        <w:rPr>
          <w:rFonts w:ascii="Arial" w:hAnsi="Arial" w:cs="Arial"/>
        </w:rPr>
        <w:t xml:space="preserve"> </w:t>
      </w:r>
      <w:r w:rsidR="00CA249F">
        <w:rPr>
          <w:rFonts w:ascii="Arial" w:hAnsi="Arial" w:cs="Arial"/>
        </w:rPr>
        <w:t>e</w:t>
      </w:r>
      <w:r w:rsidRPr="002F364B">
        <w:rPr>
          <w:rFonts w:ascii="Arial" w:hAnsi="Arial" w:cs="Arial"/>
        </w:rPr>
        <w:t>pruvete (</w:t>
      </w:r>
      <w:proofErr w:type="spellStart"/>
      <w:r w:rsidRPr="002F364B">
        <w:rPr>
          <w:rFonts w:ascii="Arial" w:hAnsi="Arial" w:cs="Arial"/>
        </w:rPr>
        <w:t>Cryovial</w:t>
      </w:r>
      <w:proofErr w:type="spellEnd"/>
      <w:r w:rsidRPr="002F364B">
        <w:rPr>
          <w:rFonts w:ascii="Arial" w:hAnsi="Arial" w:cs="Arial"/>
        </w:rPr>
        <w:t xml:space="preserve">) </w:t>
      </w:r>
      <w:r w:rsidR="00CA249F">
        <w:rPr>
          <w:rFonts w:ascii="Arial" w:hAnsi="Arial" w:cs="Arial"/>
        </w:rPr>
        <w:t xml:space="preserve">koje </w:t>
      </w:r>
      <w:r w:rsidRPr="002F364B">
        <w:rPr>
          <w:rFonts w:ascii="Arial" w:hAnsi="Arial" w:cs="Arial"/>
        </w:rPr>
        <w:t>sadrže perle čija porozna priroda omogućava prianjanje bakterija na površinu perla.. Iz dubokog zamrzavanj</w:t>
      </w:r>
      <w:r>
        <w:rPr>
          <w:rFonts w:ascii="Arial" w:hAnsi="Arial" w:cs="Arial"/>
        </w:rPr>
        <w:t xml:space="preserve">a  pripremaju se radne kulture. </w:t>
      </w:r>
      <w:r w:rsidRPr="002F364B">
        <w:rPr>
          <w:rFonts w:ascii="Arial" w:hAnsi="Arial" w:cs="Arial"/>
        </w:rPr>
        <w:t>Kada se koriste certificirani referentni sojevi s</w:t>
      </w:r>
      <w:r w:rsidR="00B96B95">
        <w:rPr>
          <w:rFonts w:ascii="Arial" w:hAnsi="Arial" w:cs="Arial"/>
        </w:rPr>
        <w:t xml:space="preserve"> </w:t>
      </w:r>
      <w:r w:rsidRPr="002F364B">
        <w:rPr>
          <w:rFonts w:ascii="Arial" w:hAnsi="Arial" w:cs="Arial"/>
        </w:rPr>
        <w:t>poznatim brojem mikroorganizama potre</w:t>
      </w:r>
      <w:r>
        <w:rPr>
          <w:rFonts w:ascii="Arial" w:hAnsi="Arial" w:cs="Arial"/>
        </w:rPr>
        <w:t>bno ih je čuvati prema uputi proi</w:t>
      </w:r>
      <w:r w:rsidRPr="002F364B">
        <w:rPr>
          <w:rFonts w:ascii="Arial" w:hAnsi="Arial" w:cs="Arial"/>
        </w:rPr>
        <w:t>zvođača i svaki puta koristiti novu</w:t>
      </w:r>
      <w:r w:rsidR="009233BE">
        <w:rPr>
          <w:rFonts w:ascii="Arial" w:hAnsi="Arial" w:cs="Arial"/>
        </w:rPr>
        <w:t xml:space="preserve"> epruvetu s mikroorganizmima.</w:t>
      </w:r>
      <w:r w:rsidRPr="002F364B">
        <w:rPr>
          <w:rFonts w:ascii="Arial" w:hAnsi="Arial" w:cs="Arial"/>
        </w:rPr>
        <w:t xml:space="preserve"> </w:t>
      </w:r>
    </w:p>
    <w:p w14:paraId="204FEEBC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</w:p>
    <w:p w14:paraId="358669C8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 w:rsidRPr="002F364B">
        <w:rPr>
          <w:rFonts w:ascii="Arial" w:hAnsi="Arial" w:cs="Arial"/>
        </w:rPr>
        <w:t>Referentni sojevi se koriste za:</w:t>
      </w:r>
    </w:p>
    <w:p w14:paraId="0094DC13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>Validaciju</w:t>
      </w:r>
      <w:r>
        <w:rPr>
          <w:rFonts w:ascii="Arial" w:hAnsi="Arial" w:cs="Arial"/>
        </w:rPr>
        <w:t>/verifikaciju</w:t>
      </w:r>
      <w:r w:rsidRPr="002F364B">
        <w:rPr>
          <w:rFonts w:ascii="Arial" w:hAnsi="Arial" w:cs="Arial"/>
        </w:rPr>
        <w:t xml:space="preserve"> metoda</w:t>
      </w:r>
    </w:p>
    <w:p w14:paraId="69CB8424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>Ispitivanje kvalitete mikrobioloških podloga</w:t>
      </w:r>
    </w:p>
    <w:p w14:paraId="3F993E9C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>Kalibriranje opreme</w:t>
      </w:r>
    </w:p>
    <w:p w14:paraId="7503AA54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>Praćenje rada laboratorija</w:t>
      </w:r>
    </w:p>
    <w:p w14:paraId="28AA598B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 xml:space="preserve">Provjeru metoda </w:t>
      </w:r>
    </w:p>
    <w:p w14:paraId="36D39F58" w14:textId="77777777" w:rsidR="009233BE" w:rsidRDefault="009233BE" w:rsidP="009233BE">
      <w:pPr>
        <w:pStyle w:val="ListParagraph"/>
        <w:ind w:left="360"/>
        <w:jc w:val="both"/>
        <w:rPr>
          <w:rFonts w:ascii="Arial" w:hAnsi="Arial" w:cs="Arial"/>
          <w:color w:val="00B0F0"/>
        </w:rPr>
      </w:pPr>
    </w:p>
    <w:p w14:paraId="5E0243CE" w14:textId="298AADC2" w:rsidR="009233BE" w:rsidRPr="00BB2F0A" w:rsidRDefault="009233BE" w:rsidP="009233BE">
      <w:pPr>
        <w:pStyle w:val="ListParagraph"/>
        <w:ind w:left="360"/>
        <w:jc w:val="both"/>
        <w:rPr>
          <w:rFonts w:ascii="Arial" w:hAnsi="Arial" w:cs="Arial"/>
        </w:rPr>
      </w:pPr>
      <w:r w:rsidRPr="00BB2F0A">
        <w:rPr>
          <w:rFonts w:ascii="Arial" w:hAnsi="Arial" w:cs="Arial"/>
        </w:rPr>
        <w:t xml:space="preserve">Preporuča se </w:t>
      </w:r>
      <w:r w:rsidR="00B96B95" w:rsidRPr="00BB2F0A">
        <w:rPr>
          <w:rFonts w:ascii="Arial" w:hAnsi="Arial" w:cs="Arial"/>
        </w:rPr>
        <w:t>nabavljati</w:t>
      </w:r>
      <w:r w:rsidRPr="00BB2F0A">
        <w:rPr>
          <w:rFonts w:ascii="Arial" w:hAnsi="Arial" w:cs="Arial"/>
        </w:rPr>
        <w:t xml:space="preserve"> referentn</w:t>
      </w:r>
      <w:r w:rsidR="00B96B95" w:rsidRPr="00BB2F0A">
        <w:rPr>
          <w:rFonts w:ascii="Arial" w:hAnsi="Arial" w:cs="Arial"/>
        </w:rPr>
        <w:t xml:space="preserve">e </w:t>
      </w:r>
      <w:r w:rsidRPr="00BB2F0A">
        <w:rPr>
          <w:rFonts w:ascii="Arial" w:hAnsi="Arial" w:cs="Arial"/>
        </w:rPr>
        <w:t>sojev</w:t>
      </w:r>
      <w:r w:rsidR="00B96B95" w:rsidRPr="00BB2F0A">
        <w:rPr>
          <w:rFonts w:ascii="Arial" w:hAnsi="Arial" w:cs="Arial"/>
        </w:rPr>
        <w:t>e</w:t>
      </w:r>
      <w:r w:rsidRPr="00BB2F0A">
        <w:rPr>
          <w:rFonts w:ascii="Arial" w:hAnsi="Arial" w:cs="Arial"/>
        </w:rPr>
        <w:t xml:space="preserve"> od proizvođača koji su akreditirani </w:t>
      </w:r>
      <w:r w:rsidR="00B96B95" w:rsidRPr="00BB2F0A">
        <w:rPr>
          <w:rFonts w:ascii="Arial" w:hAnsi="Arial" w:cs="Arial"/>
        </w:rPr>
        <w:t>prema</w:t>
      </w:r>
    </w:p>
    <w:p w14:paraId="17F00EB4" w14:textId="4838B222" w:rsidR="009233BE" w:rsidRPr="00BB2F0A" w:rsidRDefault="009233BE" w:rsidP="009233BE">
      <w:pPr>
        <w:pStyle w:val="ListParagraph"/>
        <w:ind w:left="360"/>
        <w:jc w:val="both"/>
        <w:rPr>
          <w:rFonts w:ascii="Arial" w:hAnsi="Arial" w:cs="Arial"/>
        </w:rPr>
      </w:pPr>
      <w:r w:rsidRPr="00BB2F0A">
        <w:rPr>
          <w:rFonts w:ascii="Arial" w:hAnsi="Arial" w:cs="Arial"/>
        </w:rPr>
        <w:t>ISO 17034</w:t>
      </w:r>
      <w:r w:rsidR="00B96B95" w:rsidRPr="00BB2F0A">
        <w:rPr>
          <w:rFonts w:ascii="Arial" w:hAnsi="Arial" w:cs="Arial"/>
        </w:rPr>
        <w:t>.</w:t>
      </w:r>
      <w:r w:rsidRPr="00BB2F0A">
        <w:rPr>
          <w:rFonts w:ascii="Arial" w:hAnsi="Arial" w:cs="Arial"/>
        </w:rPr>
        <w:t xml:space="preserve"> </w:t>
      </w:r>
    </w:p>
    <w:p w14:paraId="2A39FB3F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</w:p>
    <w:p w14:paraId="0D6859E2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 w:rsidRPr="002F364B">
        <w:rPr>
          <w:rFonts w:ascii="Arial" w:hAnsi="Arial" w:cs="Arial"/>
        </w:rPr>
        <w:t xml:space="preserve">Za svaki testni organizam </w:t>
      </w:r>
      <w:r>
        <w:rPr>
          <w:rFonts w:ascii="Arial" w:hAnsi="Arial" w:cs="Arial"/>
        </w:rPr>
        <w:t xml:space="preserve">potrebno je evidentirati </w:t>
      </w:r>
      <w:r w:rsidRPr="002F364B">
        <w:rPr>
          <w:rFonts w:ascii="Arial" w:hAnsi="Arial" w:cs="Arial"/>
        </w:rPr>
        <w:t>sljedeće informacije:</w:t>
      </w:r>
    </w:p>
    <w:p w14:paraId="774CFD34" w14:textId="34BFF9D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96B95">
        <w:rPr>
          <w:rFonts w:ascii="Arial" w:hAnsi="Arial" w:cs="Arial"/>
        </w:rPr>
        <w:t>Naziv</w:t>
      </w:r>
      <w:r w:rsidR="00B96B95" w:rsidRPr="002F364B">
        <w:rPr>
          <w:rFonts w:ascii="Arial" w:hAnsi="Arial" w:cs="Arial"/>
        </w:rPr>
        <w:t xml:space="preserve"> </w:t>
      </w:r>
      <w:r w:rsidRPr="002F364B">
        <w:rPr>
          <w:rFonts w:ascii="Arial" w:hAnsi="Arial" w:cs="Arial"/>
        </w:rPr>
        <w:t>kolekcije kultura iz kojih su izdvojeni organizmi</w:t>
      </w:r>
    </w:p>
    <w:p w14:paraId="5F9AA661" w14:textId="0EFB4B8F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96B95">
        <w:rPr>
          <w:rFonts w:ascii="Arial" w:hAnsi="Arial" w:cs="Arial"/>
        </w:rPr>
        <w:t>Naziv,</w:t>
      </w:r>
      <w:r w:rsidRPr="002F364B">
        <w:rPr>
          <w:rFonts w:ascii="Arial" w:hAnsi="Arial" w:cs="Arial"/>
        </w:rPr>
        <w:t xml:space="preserve"> referentni </w:t>
      </w:r>
      <w:r w:rsidR="009233BE">
        <w:rPr>
          <w:rFonts w:ascii="Arial" w:hAnsi="Arial" w:cs="Arial"/>
        </w:rPr>
        <w:t>broj</w:t>
      </w:r>
      <w:r w:rsidR="009233BE" w:rsidRPr="009233BE">
        <w:rPr>
          <w:rFonts w:ascii="Arial" w:hAnsi="Arial" w:cs="Arial"/>
        </w:rPr>
        <w:t xml:space="preserve"> </w:t>
      </w:r>
      <w:r w:rsidR="00B96B95">
        <w:rPr>
          <w:rFonts w:ascii="Arial" w:hAnsi="Arial" w:cs="Arial"/>
        </w:rPr>
        <w:t>i rok trajanja</w:t>
      </w:r>
    </w:p>
    <w:p w14:paraId="4AEDC60F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>Datum primitka</w:t>
      </w:r>
    </w:p>
    <w:p w14:paraId="1ED3F9BB" w14:textId="77777777" w:rsidR="00D97813" w:rsidRPr="002F364B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>Datum subkultivacije mikroorganizama</w:t>
      </w:r>
    </w:p>
    <w:p w14:paraId="45202AF6" w14:textId="598E62E5" w:rsidR="00D97813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F364B">
        <w:rPr>
          <w:rFonts w:ascii="Arial" w:hAnsi="Arial" w:cs="Arial"/>
        </w:rPr>
        <w:t>Broj epruveta (</w:t>
      </w:r>
      <w:proofErr w:type="spellStart"/>
      <w:r w:rsidRPr="002F364B">
        <w:rPr>
          <w:rFonts w:ascii="Arial" w:hAnsi="Arial" w:cs="Arial"/>
        </w:rPr>
        <w:t>cryobank</w:t>
      </w:r>
      <w:proofErr w:type="spellEnd"/>
      <w:r w:rsidRPr="002F364B">
        <w:rPr>
          <w:rFonts w:ascii="Arial" w:hAnsi="Arial" w:cs="Arial"/>
        </w:rPr>
        <w:t xml:space="preserve"> </w:t>
      </w:r>
      <w:r w:rsidR="009233BE">
        <w:rPr>
          <w:rFonts w:ascii="Arial" w:hAnsi="Arial" w:cs="Arial"/>
        </w:rPr>
        <w:t>epruveta</w:t>
      </w:r>
      <w:r w:rsidRPr="002F364B">
        <w:rPr>
          <w:rFonts w:ascii="Arial" w:hAnsi="Arial" w:cs="Arial"/>
        </w:rPr>
        <w:t>) podrijetlom iz serije</w:t>
      </w:r>
    </w:p>
    <w:p w14:paraId="7E1D09C3" w14:textId="0765181E" w:rsidR="00D97813" w:rsidRDefault="00D97813" w:rsidP="00D97813">
      <w:pPr>
        <w:pStyle w:val="ListParagraph"/>
        <w:ind w:left="360"/>
        <w:jc w:val="both"/>
        <w:rPr>
          <w:rFonts w:ascii="Arial" w:hAnsi="Arial" w:cs="Arial"/>
        </w:rPr>
      </w:pPr>
    </w:p>
    <w:p w14:paraId="68E4C265" w14:textId="38CF7240" w:rsidR="00D97813" w:rsidRDefault="00D97813" w:rsidP="00D97813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verifikaciji mikrobiološke metode</w:t>
      </w:r>
    </w:p>
    <w:p w14:paraId="2B029E52" w14:textId="16109E27" w:rsidR="00D97813" w:rsidRDefault="00D97813" w:rsidP="00D978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Izvještaj o verifikaciji mikrobioloških metoda bi trebao sadržavati općenite informacije (mjerni postupak, metoda i mjerna veličina), svrhu tj. matriks na koji je verifikacija primjenjiva, te izvedbene kriterije analitičke metode. U izvedbenim kriterijima analitičkih metoda je potrebno navesti svrhu uporabe rezultata, parametre verifikacije koji su određivani s granicama (ukoliko ih ima), te izjavu da verifikacija odgovara namjeni. </w:t>
      </w:r>
    </w:p>
    <w:p w14:paraId="1E806C69" w14:textId="77777777" w:rsidR="00D97813" w:rsidRPr="002F364B" w:rsidRDefault="00D97813" w:rsidP="00D9781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709AFD50" w14:textId="3BD6E00E" w:rsidR="009233BE" w:rsidRDefault="0040296A" w:rsidP="009233B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Primjer dostupan u Prilogu </w:t>
      </w: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2</w:t>
      </w: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a. </w:t>
      </w:r>
      <w:r w:rsidR="009233B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Predložak za verifikaciju</w:t>
      </w:r>
      <w:r w:rsidR="009233BE"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  <w:r w:rsidR="009233B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mikrobiološke metode</w:t>
      </w:r>
    </w:p>
    <w:p w14:paraId="3FCBA999" w14:textId="77777777" w:rsidR="00D97813" w:rsidRPr="00A07967" w:rsidRDefault="00D97813" w:rsidP="00D97813">
      <w:pPr>
        <w:pStyle w:val="ListParagraph"/>
        <w:ind w:left="1080"/>
        <w:jc w:val="both"/>
        <w:rPr>
          <w:rFonts w:ascii="Arial" w:hAnsi="Arial" w:cs="Arial"/>
        </w:rPr>
      </w:pPr>
    </w:p>
    <w:p w14:paraId="64AE0506" w14:textId="77777777" w:rsidR="00D97813" w:rsidRPr="00957C5B" w:rsidRDefault="00D97813" w:rsidP="00D97813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Napomena: Vrijednosti prikazane u Excel dokumentu nisu rezultat stvarnih mjerenja nego samo prikaz za bolje razumijevanje izvedbenih karakteristika verifikacije metode.</w:t>
      </w:r>
    </w:p>
    <w:p w14:paraId="0303B30A" w14:textId="77777777" w:rsidR="00D97813" w:rsidRPr="00AA6848" w:rsidRDefault="00D97813" w:rsidP="00D97813">
      <w:pPr>
        <w:pStyle w:val="ListParagraph"/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3FF843C6" w14:textId="77777777" w:rsidR="00D97813" w:rsidRPr="009A2D05" w:rsidRDefault="00D97813" w:rsidP="00D97813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9A2D05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Primjer izgleda tablice s definiranim kriterijima prihvatljivosti i zaključna tablica s rezultatima verifikacije kojom se dokazuje da metoda odgovara svrsi nalaze se u Excel dokumentu.</w:t>
      </w:r>
    </w:p>
    <w:p w14:paraId="221F0F99" w14:textId="77777777" w:rsidR="00D97813" w:rsidRDefault="00D97813" w:rsidP="00D97813">
      <w:pPr>
        <w:jc w:val="both"/>
        <w:rPr>
          <w:rFonts w:ascii="Arial" w:hAnsi="Arial" w:cs="Arial"/>
          <w:b/>
          <w:bCs/>
        </w:rPr>
      </w:pPr>
    </w:p>
    <w:p w14:paraId="12A00B3F" w14:textId="77777777" w:rsidR="00D97813" w:rsidRPr="00D97813" w:rsidRDefault="00D97813" w:rsidP="00D97813">
      <w:pPr>
        <w:jc w:val="both"/>
        <w:rPr>
          <w:rFonts w:ascii="Arial" w:hAnsi="Arial" w:cs="Arial"/>
          <w:b/>
          <w:bCs/>
        </w:rPr>
      </w:pPr>
    </w:p>
    <w:p w14:paraId="6E4A475B" w14:textId="179FCF6D" w:rsidR="00756E8F" w:rsidRDefault="00756E8F" w:rsidP="00D9781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PARAMETRI VERIFIKACIJE MIKROBIOLOŠKIH </w:t>
      </w:r>
      <w:r w:rsidRPr="003D4062">
        <w:rPr>
          <w:rFonts w:ascii="Arial" w:hAnsi="Arial" w:cs="Arial"/>
          <w:b/>
          <w:bCs/>
        </w:rPr>
        <w:t>METODA</w:t>
      </w:r>
    </w:p>
    <w:p w14:paraId="32A07288" w14:textId="77777777" w:rsidR="00756E8F" w:rsidRPr="0026576D" w:rsidRDefault="00756E8F" w:rsidP="00756E8F">
      <w:pPr>
        <w:pStyle w:val="ListParagraph"/>
        <w:jc w:val="both"/>
        <w:rPr>
          <w:rFonts w:ascii="Arial" w:hAnsi="Arial" w:cs="Arial"/>
          <w:b/>
          <w:bCs/>
        </w:rPr>
      </w:pPr>
    </w:p>
    <w:p w14:paraId="2CC090AC" w14:textId="1C25AB21" w:rsidR="00756E8F" w:rsidRDefault="00756E8F" w:rsidP="00D97813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</w:rPr>
      </w:pPr>
      <w:r w:rsidRPr="00756E8F">
        <w:rPr>
          <w:rFonts w:ascii="Arial" w:hAnsi="Arial" w:cs="Arial"/>
          <w:b/>
          <w:bCs/>
        </w:rPr>
        <w:t>Ponovljivost</w:t>
      </w:r>
    </w:p>
    <w:p w14:paraId="3DEB88AB" w14:textId="77777777" w:rsidR="0026508F" w:rsidRPr="00756E8F" w:rsidRDefault="0026508F" w:rsidP="0026508F">
      <w:pPr>
        <w:pStyle w:val="ListParagraph"/>
        <w:ind w:left="1080"/>
        <w:rPr>
          <w:rFonts w:ascii="Arial" w:hAnsi="Arial" w:cs="Arial"/>
          <w:b/>
          <w:bCs/>
        </w:rPr>
      </w:pPr>
    </w:p>
    <w:p w14:paraId="37D28329" w14:textId="661F96DA" w:rsidR="0026508F" w:rsidRDefault="007C0920" w:rsidP="00756E8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Ponovljivost</w:t>
      </w:r>
      <w:r w:rsidR="00756E8F" w:rsidRPr="00307F36">
        <w:rPr>
          <w:rFonts w:ascii="Arial" w:hAnsi="Arial" w:cs="Arial"/>
          <w:bCs/>
          <w:color w:val="000000"/>
        </w:rPr>
        <w:t xml:space="preserve"> </w:t>
      </w:r>
      <w:r w:rsidR="00905D5E">
        <w:rPr>
          <w:rFonts w:ascii="Arial" w:hAnsi="Arial" w:cs="Arial"/>
          <w:bCs/>
          <w:color w:val="000000"/>
        </w:rPr>
        <w:t>mikrobioloških metoda</w:t>
      </w:r>
      <w:r w:rsidR="00344E9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se određuje</w:t>
      </w:r>
      <w:r w:rsidR="00344E93">
        <w:rPr>
          <w:rFonts w:ascii="Arial" w:hAnsi="Arial" w:cs="Arial"/>
          <w:bCs/>
          <w:color w:val="000000"/>
        </w:rPr>
        <w:t xml:space="preserve"> </w:t>
      </w:r>
      <w:r w:rsidR="00756E8F" w:rsidRPr="00307F36">
        <w:rPr>
          <w:rFonts w:ascii="Arial" w:hAnsi="Arial" w:cs="Arial"/>
          <w:bCs/>
          <w:color w:val="000000"/>
        </w:rPr>
        <w:t>tako da se radi 10 ponavljanja istog uzorka u istim uvjetima (isti analitičar, isti dan, isto vrijeme i inkubacija u istom inkubatoru).</w:t>
      </w:r>
      <w:r w:rsidR="0026508F">
        <w:rPr>
          <w:rFonts w:ascii="Arial" w:hAnsi="Arial" w:cs="Arial"/>
          <w:bCs/>
          <w:color w:val="000000"/>
        </w:rPr>
        <w:t xml:space="preserve"> Poželjno je da svako ponavljanje sadrži 20 – 80 ciljanih mikroorganizama. </w:t>
      </w:r>
      <w:r w:rsidR="00756E8F" w:rsidRPr="00307F36">
        <w:rPr>
          <w:rFonts w:ascii="Arial" w:hAnsi="Arial" w:cs="Arial"/>
          <w:bCs/>
          <w:color w:val="000000"/>
        </w:rPr>
        <w:t xml:space="preserve"> </w:t>
      </w:r>
    </w:p>
    <w:p w14:paraId="7F6F2032" w14:textId="7A9DC5BE" w:rsidR="00905D5E" w:rsidRDefault="00756E8F" w:rsidP="00756E8F">
      <w:pPr>
        <w:rPr>
          <w:rFonts w:ascii="Arial" w:hAnsi="Arial" w:cs="Arial"/>
          <w:bCs/>
          <w:color w:val="000000"/>
        </w:rPr>
      </w:pPr>
      <w:r w:rsidRPr="00307F36">
        <w:rPr>
          <w:rFonts w:ascii="Arial" w:hAnsi="Arial" w:cs="Arial"/>
          <w:bCs/>
          <w:color w:val="000000"/>
        </w:rPr>
        <w:t>Minimalno se radi 3 seta ponavljanja</w:t>
      </w:r>
      <w:r w:rsidR="00905D5E">
        <w:rPr>
          <w:rFonts w:ascii="Arial" w:hAnsi="Arial" w:cs="Arial"/>
          <w:bCs/>
          <w:color w:val="000000"/>
        </w:rPr>
        <w:t xml:space="preserve"> (3 uzorka po analitičaru)</w:t>
      </w:r>
      <w:r w:rsidRPr="00307F36">
        <w:rPr>
          <w:rFonts w:ascii="Arial" w:hAnsi="Arial" w:cs="Arial"/>
          <w:bCs/>
          <w:color w:val="000000"/>
        </w:rPr>
        <w:t>, koristeći različite izvore ciljanih mikroorganizama.</w:t>
      </w:r>
      <w:r w:rsidR="00905D5E">
        <w:rPr>
          <w:rFonts w:ascii="Arial" w:hAnsi="Arial" w:cs="Arial"/>
          <w:bCs/>
          <w:color w:val="000000"/>
        </w:rPr>
        <w:t xml:space="preserve"> Za određivanje ponovljivosti se mogu koristiti prirodno kontaminirani uzorci s</w:t>
      </w:r>
      <w:r w:rsidR="00344E93">
        <w:rPr>
          <w:rFonts w:ascii="Arial" w:hAnsi="Arial" w:cs="Arial"/>
          <w:bCs/>
          <w:color w:val="000000"/>
        </w:rPr>
        <w:t xml:space="preserve"> ciljanim</w:t>
      </w:r>
      <w:r w:rsidR="00905D5E">
        <w:rPr>
          <w:rFonts w:ascii="Arial" w:hAnsi="Arial" w:cs="Arial"/>
          <w:bCs/>
          <w:color w:val="000000"/>
        </w:rPr>
        <w:t xml:space="preserve"> </w:t>
      </w:r>
      <w:r w:rsidR="00F73DB0">
        <w:rPr>
          <w:rFonts w:ascii="Arial" w:hAnsi="Arial" w:cs="Arial"/>
          <w:bCs/>
          <w:color w:val="000000"/>
        </w:rPr>
        <w:t>mikroorganizmima</w:t>
      </w:r>
      <w:r w:rsidR="00344E93">
        <w:rPr>
          <w:rFonts w:ascii="Arial" w:hAnsi="Arial" w:cs="Arial"/>
          <w:bCs/>
          <w:color w:val="000000"/>
        </w:rPr>
        <w:t xml:space="preserve"> (npr. sirova voda)</w:t>
      </w:r>
      <w:r w:rsidR="00F73DB0">
        <w:rPr>
          <w:rFonts w:ascii="Arial" w:hAnsi="Arial" w:cs="Arial"/>
          <w:bCs/>
          <w:color w:val="000000"/>
        </w:rPr>
        <w:t xml:space="preserve"> </w:t>
      </w:r>
      <w:r w:rsidR="00905D5E">
        <w:rPr>
          <w:rFonts w:ascii="Arial" w:hAnsi="Arial" w:cs="Arial"/>
          <w:bCs/>
          <w:color w:val="000000"/>
        </w:rPr>
        <w:t xml:space="preserve">ili uzorci s dodanim ciljanim mikroorganizmima (npr. </w:t>
      </w:r>
      <w:r w:rsidR="00344E93">
        <w:rPr>
          <w:rFonts w:ascii="Arial" w:hAnsi="Arial" w:cs="Arial"/>
          <w:bCs/>
          <w:color w:val="000000"/>
        </w:rPr>
        <w:t>obrađena</w:t>
      </w:r>
      <w:r w:rsidR="00905D5E">
        <w:rPr>
          <w:rFonts w:ascii="Arial" w:hAnsi="Arial" w:cs="Arial"/>
          <w:bCs/>
          <w:color w:val="000000"/>
        </w:rPr>
        <w:t xml:space="preserve"> voda s dodanim certificiranim referentnim</w:t>
      </w:r>
      <w:r w:rsidR="00905D5E" w:rsidRPr="00905D5E">
        <w:rPr>
          <w:rFonts w:ascii="Arial" w:hAnsi="Arial" w:cs="Arial"/>
          <w:bCs/>
          <w:color w:val="000000"/>
        </w:rPr>
        <w:t xml:space="preserve"> soje</w:t>
      </w:r>
      <w:r w:rsidR="00905D5E">
        <w:rPr>
          <w:rFonts w:ascii="Arial" w:hAnsi="Arial" w:cs="Arial"/>
          <w:bCs/>
          <w:color w:val="000000"/>
        </w:rPr>
        <w:t xml:space="preserve">m). </w:t>
      </w:r>
    </w:p>
    <w:p w14:paraId="5B950690" w14:textId="77777777" w:rsidR="00F73DB0" w:rsidRDefault="0026508F" w:rsidP="00F73DB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 dobivene vrijednosti </w:t>
      </w:r>
      <w:r w:rsidR="00F73DB0" w:rsidRPr="00307F36">
        <w:rPr>
          <w:rFonts w:ascii="Arial" w:hAnsi="Arial" w:cs="Arial"/>
          <w:bCs/>
          <w:color w:val="000000"/>
        </w:rPr>
        <w:t>ciljanih mikroorganizama</w:t>
      </w:r>
      <w:r w:rsidR="00F73DB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setova ponavljanja određujemo prekomjernu disperziju</w:t>
      </w:r>
      <w:r w:rsidRPr="0026508F">
        <w:rPr>
          <w:rFonts w:ascii="Arial" w:hAnsi="Arial" w:cs="Arial"/>
          <w:bCs/>
          <w:color w:val="000000"/>
        </w:rPr>
        <w:t xml:space="preserve"> koristeći indeks disperzije po Poissonu</w:t>
      </w:r>
      <w:r w:rsidR="00F73DB0">
        <w:rPr>
          <w:rFonts w:ascii="Arial" w:hAnsi="Arial" w:cs="Arial"/>
          <w:bCs/>
          <w:color w:val="000000"/>
        </w:rPr>
        <w:t xml:space="preserve">. </w:t>
      </w:r>
    </w:p>
    <w:p w14:paraId="4CC924C9" w14:textId="0EF589A7" w:rsidR="00F73DB0" w:rsidRPr="00307F36" w:rsidRDefault="00F73DB0" w:rsidP="00F73DB0">
      <w:pPr>
        <w:jc w:val="both"/>
        <w:rPr>
          <w:rFonts w:ascii="Arial" w:hAnsi="Arial" w:cs="Arial"/>
        </w:rPr>
      </w:pPr>
      <w:r w:rsidRPr="00307F36">
        <w:rPr>
          <w:rFonts w:ascii="Arial" w:hAnsi="Arial" w:cs="Arial"/>
        </w:rPr>
        <w:t xml:space="preserve">Poissonov indeks disperzije </w:t>
      </w:r>
      <w:r w:rsidR="009B625E">
        <w:rPr>
          <w:rFonts w:ascii="Arial" w:hAnsi="Arial" w:cs="Arial"/>
        </w:rPr>
        <w:t xml:space="preserve">se računa </w:t>
      </w:r>
      <w:r w:rsidRPr="00307F36">
        <w:rPr>
          <w:rFonts w:ascii="Arial" w:hAnsi="Arial" w:cs="Arial"/>
        </w:rPr>
        <w:t>prema formuli:</w:t>
      </w:r>
    </w:p>
    <w:p w14:paraId="4BFDBC82" w14:textId="1358274D" w:rsidR="00F73DB0" w:rsidRDefault="0040296A" w:rsidP="00F73DB0">
      <w:pPr>
        <w:tabs>
          <w:tab w:val="left" w:pos="132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eastAsia="hr-HR"/>
        </w:rPr>
        <w:object w:dxaOrig="1440" w:dyaOrig="1440" w14:anchorId="30181A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6.95pt;margin-top:5.7pt;width:193.95pt;height:40pt;z-index:251658240">
            <v:imagedata r:id="rId7" o:title=""/>
          </v:shape>
          <o:OLEObject Type="Embed" ProgID="Equation.3" ShapeID="_x0000_s1028" DrawAspect="Content" ObjectID="_1779089557" r:id="rId8"/>
        </w:object>
      </w:r>
      <w:r w:rsidR="00F73DB0">
        <w:rPr>
          <w:rFonts w:ascii="Arial" w:hAnsi="Arial" w:cs="Arial"/>
          <w:bCs/>
          <w:color w:val="000000"/>
        </w:rPr>
        <w:tab/>
        <w:t xml:space="preserve"> </w:t>
      </w:r>
    </w:p>
    <w:p w14:paraId="318388CE" w14:textId="77777777" w:rsidR="00BC7DA8" w:rsidRDefault="00BC7DA8" w:rsidP="00F73DB0">
      <w:pPr>
        <w:tabs>
          <w:tab w:val="left" w:pos="1320"/>
        </w:tabs>
        <w:rPr>
          <w:rFonts w:ascii="Arial" w:hAnsi="Arial" w:cs="Arial"/>
          <w:bCs/>
          <w:color w:val="000000"/>
        </w:rPr>
      </w:pPr>
    </w:p>
    <w:p w14:paraId="6035B61E" w14:textId="59EC8742" w:rsidR="00F73DB0" w:rsidRDefault="00F73DB0" w:rsidP="0026508F">
      <w:pPr>
        <w:rPr>
          <w:rFonts w:ascii="Arial" w:hAnsi="Arial" w:cs="Arial"/>
          <w:bCs/>
          <w:color w:val="000000"/>
        </w:rPr>
      </w:pPr>
    </w:p>
    <w:p w14:paraId="12CBDA54" w14:textId="77777777" w:rsidR="00BC7DA8" w:rsidRPr="00307F36" w:rsidRDefault="00BC7DA8" w:rsidP="00BC7DA8">
      <w:pPr>
        <w:jc w:val="center"/>
        <w:rPr>
          <w:rFonts w:ascii="Arial" w:hAnsi="Arial" w:cs="Arial"/>
          <w:color w:val="000000"/>
        </w:rPr>
      </w:pPr>
      <w:r w:rsidRPr="00307F36">
        <w:rPr>
          <w:rFonts w:ascii="Arial" w:hAnsi="Arial" w:cs="Arial"/>
          <w:b/>
          <w:color w:val="000000"/>
        </w:rPr>
        <w:t>x</w:t>
      </w:r>
      <w:r w:rsidRPr="00307F36">
        <w:rPr>
          <w:rFonts w:ascii="Arial" w:hAnsi="Arial" w:cs="Arial"/>
          <w:b/>
          <w:color w:val="000000"/>
          <w:vertAlign w:val="superscript"/>
        </w:rPr>
        <w:t>2</w:t>
      </w:r>
      <w:r>
        <w:rPr>
          <w:rFonts w:ascii="Arial" w:hAnsi="Arial" w:cs="Arial"/>
          <w:b/>
          <w:color w:val="000000"/>
          <w:vertAlign w:val="subscript"/>
        </w:rPr>
        <w:t>n</w:t>
      </w:r>
      <w:r w:rsidRPr="00307F36">
        <w:rPr>
          <w:rFonts w:ascii="Arial" w:hAnsi="Arial" w:cs="Arial"/>
          <w:b/>
          <w:color w:val="000000"/>
          <w:vertAlign w:val="subscript"/>
        </w:rPr>
        <w:t>-1</w:t>
      </w:r>
      <w:r w:rsidRPr="00307F36">
        <w:rPr>
          <w:rFonts w:ascii="Arial" w:hAnsi="Arial" w:cs="Arial"/>
          <w:color w:val="000000"/>
          <w:vertAlign w:val="subscript"/>
        </w:rPr>
        <w:t xml:space="preserve"> </w:t>
      </w:r>
      <w:r w:rsidRPr="00307F36">
        <w:rPr>
          <w:rFonts w:ascii="Arial" w:hAnsi="Arial" w:cs="Arial"/>
          <w:color w:val="000000"/>
        </w:rPr>
        <w:t>-prekomjerna disperzija koristeći indeks disperzije po Poissonu</w:t>
      </w:r>
    </w:p>
    <w:p w14:paraId="07989683" w14:textId="77777777" w:rsidR="00F73DB0" w:rsidRDefault="00F73DB0" w:rsidP="0026508F">
      <w:pPr>
        <w:rPr>
          <w:rFonts w:ascii="Arial" w:hAnsi="Arial" w:cs="Arial"/>
          <w:bCs/>
          <w:color w:val="000000"/>
        </w:rPr>
      </w:pPr>
    </w:p>
    <w:p w14:paraId="248BCA51" w14:textId="52EF7D3D" w:rsidR="00BC7DA8" w:rsidRDefault="00F73DB0" w:rsidP="0026508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Dobivenu vrijednost disperzije</w:t>
      </w:r>
      <w:r w:rsidR="0026508F">
        <w:rPr>
          <w:rFonts w:ascii="Arial" w:hAnsi="Arial" w:cs="Arial"/>
          <w:bCs/>
          <w:color w:val="000000"/>
        </w:rPr>
        <w:t xml:space="preserve"> uspoređujemo sa </w:t>
      </w:r>
      <w:r w:rsidR="0026508F" w:rsidRPr="0026508F">
        <w:rPr>
          <w:rFonts w:ascii="Arial" w:hAnsi="Arial" w:cs="Arial"/>
          <w:bCs/>
          <w:color w:val="000000"/>
        </w:rPr>
        <w:t>teoretski</w:t>
      </w:r>
      <w:r w:rsidR="0026508F">
        <w:rPr>
          <w:rFonts w:ascii="Arial" w:hAnsi="Arial" w:cs="Arial"/>
          <w:bCs/>
          <w:color w:val="000000"/>
        </w:rPr>
        <w:t>m</w:t>
      </w:r>
      <w:r w:rsidR="0026508F" w:rsidRPr="0026508F">
        <w:rPr>
          <w:rFonts w:ascii="Arial" w:hAnsi="Arial" w:cs="Arial"/>
          <w:bCs/>
          <w:color w:val="000000"/>
        </w:rPr>
        <w:t xml:space="preserve"> limit</w:t>
      </w:r>
      <w:r w:rsidR="0026508F">
        <w:rPr>
          <w:rFonts w:ascii="Arial" w:hAnsi="Arial" w:cs="Arial"/>
          <w:bCs/>
          <w:color w:val="000000"/>
        </w:rPr>
        <w:t>om</w:t>
      </w:r>
      <w:r w:rsidR="0026508F" w:rsidRPr="0026508F">
        <w:rPr>
          <w:rFonts w:ascii="Arial" w:hAnsi="Arial" w:cs="Arial"/>
          <w:bCs/>
          <w:color w:val="000000"/>
        </w:rPr>
        <w:t xml:space="preserve"> </w:t>
      </w:r>
      <w:r w:rsidRPr="00F73DB0">
        <w:rPr>
          <w:rFonts w:ascii="Arial" w:hAnsi="Arial" w:cs="Arial"/>
          <w:bCs/>
          <w:color w:val="000000"/>
        </w:rPr>
        <w:t>χ2</w:t>
      </w:r>
      <w:r w:rsidR="00BC7DA8" w:rsidRPr="00F73DB0">
        <w:rPr>
          <w:rFonts w:ascii="Arial" w:hAnsi="Arial" w:cs="Arial"/>
          <w:bCs/>
          <w:color w:val="000000"/>
        </w:rPr>
        <w:t xml:space="preserve">(hi-kvadrat) </w:t>
      </w:r>
      <w:r w:rsidR="00BC7DA8">
        <w:rPr>
          <w:rFonts w:ascii="Arial" w:hAnsi="Arial" w:cs="Arial"/>
          <w:bCs/>
          <w:color w:val="000000"/>
        </w:rPr>
        <w:t>–</w:t>
      </w:r>
      <w:r w:rsidRPr="00F73DB0">
        <w:rPr>
          <w:rFonts w:ascii="Arial" w:hAnsi="Arial" w:cs="Arial"/>
          <w:bCs/>
          <w:color w:val="000000"/>
        </w:rPr>
        <w:t>test</w:t>
      </w:r>
      <w:r w:rsidR="00BC7DA8">
        <w:rPr>
          <w:rFonts w:ascii="Arial" w:hAnsi="Arial" w:cs="Arial"/>
          <w:bCs/>
          <w:color w:val="000000"/>
        </w:rPr>
        <w:t>a. S obzirom da se radi o 10 ponavljanja, t</w:t>
      </w:r>
      <w:r w:rsidR="0026508F">
        <w:rPr>
          <w:rFonts w:ascii="Arial" w:hAnsi="Arial" w:cs="Arial"/>
          <w:bCs/>
          <w:color w:val="000000"/>
        </w:rPr>
        <w:t xml:space="preserve">eoretski limit s </w:t>
      </w:r>
      <w:r w:rsidR="0026508F" w:rsidRPr="0026508F">
        <w:rPr>
          <w:rFonts w:ascii="Arial" w:hAnsi="Arial" w:cs="Arial"/>
          <w:bCs/>
          <w:color w:val="000000"/>
        </w:rPr>
        <w:t>0,05 vjeroj</w:t>
      </w:r>
      <w:r w:rsidR="0026508F">
        <w:rPr>
          <w:rFonts w:ascii="Arial" w:hAnsi="Arial" w:cs="Arial"/>
          <w:bCs/>
          <w:color w:val="000000"/>
        </w:rPr>
        <w:t>atno</w:t>
      </w:r>
      <w:r w:rsidR="00BC7DA8">
        <w:rPr>
          <w:rFonts w:ascii="Arial" w:hAnsi="Arial" w:cs="Arial"/>
          <w:bCs/>
          <w:color w:val="000000"/>
        </w:rPr>
        <w:t>sti</w:t>
      </w:r>
      <w:r w:rsidR="0026508F">
        <w:rPr>
          <w:rFonts w:ascii="Arial" w:hAnsi="Arial" w:cs="Arial"/>
          <w:bCs/>
          <w:color w:val="000000"/>
        </w:rPr>
        <w:t xml:space="preserve"> za 9 stupnjeva slobode iznosi</w:t>
      </w:r>
      <w:r w:rsidR="0026508F" w:rsidRPr="0026508F">
        <w:rPr>
          <w:rFonts w:ascii="Arial" w:hAnsi="Arial" w:cs="Arial"/>
          <w:bCs/>
          <w:color w:val="000000"/>
        </w:rPr>
        <w:t xml:space="preserve"> 16,92</w:t>
      </w:r>
      <w:r w:rsidR="0026508F">
        <w:rPr>
          <w:rFonts w:ascii="Arial" w:hAnsi="Arial" w:cs="Arial"/>
          <w:bCs/>
          <w:color w:val="000000"/>
        </w:rPr>
        <w:t>.</w:t>
      </w:r>
      <w:r w:rsidR="00BC7DA8">
        <w:rPr>
          <w:rFonts w:ascii="Arial" w:hAnsi="Arial" w:cs="Arial"/>
          <w:bCs/>
          <w:color w:val="000000"/>
        </w:rPr>
        <w:t xml:space="preserve"> </w:t>
      </w:r>
    </w:p>
    <w:p w14:paraId="41CF00C7" w14:textId="4F5092A0" w:rsidR="00BB7BDF" w:rsidRDefault="00BB7BDF" w:rsidP="00BB7BD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Ukoliko je dobivena vrijednost disperzije veća od teoretskog limita </w:t>
      </w:r>
      <w:r w:rsidRPr="00F73DB0">
        <w:rPr>
          <w:rFonts w:ascii="Arial" w:hAnsi="Arial" w:cs="Arial"/>
          <w:bCs/>
          <w:color w:val="000000"/>
        </w:rPr>
        <w:t>χ2</w:t>
      </w:r>
      <w:r>
        <w:rPr>
          <w:rFonts w:ascii="Arial" w:hAnsi="Arial" w:cs="Arial"/>
          <w:bCs/>
          <w:color w:val="000000"/>
        </w:rPr>
        <w:t xml:space="preserve"> </w:t>
      </w:r>
      <w:r w:rsidRPr="00F73DB0">
        <w:rPr>
          <w:rFonts w:ascii="Arial" w:hAnsi="Arial" w:cs="Arial"/>
          <w:bCs/>
          <w:color w:val="000000"/>
        </w:rPr>
        <w:t>test</w:t>
      </w:r>
      <w:r>
        <w:rPr>
          <w:rFonts w:ascii="Arial" w:hAnsi="Arial" w:cs="Arial"/>
          <w:bCs/>
          <w:color w:val="000000"/>
        </w:rPr>
        <w:t xml:space="preserve">a, tada </w:t>
      </w:r>
      <w:r w:rsidRPr="00BC7DA8">
        <w:rPr>
          <w:rFonts w:ascii="Arial" w:hAnsi="Arial" w:cs="Arial"/>
          <w:bCs/>
          <w:color w:val="000000"/>
        </w:rPr>
        <w:t xml:space="preserve">varijabilnost između paralelnih brojanja </w:t>
      </w:r>
      <w:r>
        <w:rPr>
          <w:rFonts w:ascii="Arial" w:hAnsi="Arial" w:cs="Arial"/>
          <w:bCs/>
          <w:color w:val="000000"/>
        </w:rPr>
        <w:t xml:space="preserve">nije </w:t>
      </w:r>
      <w:r w:rsidRPr="00BC7DA8">
        <w:rPr>
          <w:rFonts w:ascii="Arial" w:hAnsi="Arial" w:cs="Arial"/>
          <w:bCs/>
          <w:color w:val="000000"/>
        </w:rPr>
        <w:t xml:space="preserve">usklađena </w:t>
      </w:r>
      <w:r>
        <w:rPr>
          <w:rFonts w:ascii="Arial" w:hAnsi="Arial" w:cs="Arial"/>
          <w:bCs/>
          <w:color w:val="000000"/>
        </w:rPr>
        <w:t>sa Poissonovom distribucijom, te se očitane vrijednosti ne mogu koristit za daljnje računanje ponovljivosti. U navedenom slučaju je potrebno ponoviti cijeli postupak određivanja ponovljivosti.</w:t>
      </w:r>
    </w:p>
    <w:p w14:paraId="176CD150" w14:textId="13666FE2" w:rsidR="00BC7DA8" w:rsidRDefault="00BC7DA8" w:rsidP="0026508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Ukoliko je dobivena vrijednost disperzije manja od teoretskog limita </w:t>
      </w:r>
      <w:r w:rsidRPr="00F73DB0">
        <w:rPr>
          <w:rFonts w:ascii="Arial" w:hAnsi="Arial" w:cs="Arial"/>
          <w:bCs/>
          <w:color w:val="000000"/>
        </w:rPr>
        <w:t>χ2</w:t>
      </w:r>
      <w:r>
        <w:rPr>
          <w:rFonts w:ascii="Arial" w:hAnsi="Arial" w:cs="Arial"/>
          <w:bCs/>
          <w:color w:val="000000"/>
        </w:rPr>
        <w:t xml:space="preserve"> </w:t>
      </w:r>
      <w:r w:rsidRPr="00F73DB0">
        <w:rPr>
          <w:rFonts w:ascii="Arial" w:hAnsi="Arial" w:cs="Arial"/>
          <w:bCs/>
          <w:color w:val="000000"/>
        </w:rPr>
        <w:t>test</w:t>
      </w:r>
      <w:r>
        <w:rPr>
          <w:rFonts w:ascii="Arial" w:hAnsi="Arial" w:cs="Arial"/>
          <w:bCs/>
          <w:color w:val="000000"/>
        </w:rPr>
        <w:t xml:space="preserve">a, tada je </w:t>
      </w:r>
      <w:r w:rsidRPr="00BC7DA8">
        <w:rPr>
          <w:rFonts w:ascii="Arial" w:hAnsi="Arial" w:cs="Arial"/>
          <w:bCs/>
          <w:color w:val="000000"/>
        </w:rPr>
        <w:t xml:space="preserve">varijabilnost između paralelnih brojanja usklađena </w:t>
      </w:r>
      <w:r w:rsidR="00BB7BDF">
        <w:rPr>
          <w:rFonts w:ascii="Arial" w:hAnsi="Arial" w:cs="Arial"/>
          <w:bCs/>
          <w:color w:val="000000"/>
        </w:rPr>
        <w:t>sa Poissonovom distribucijom</w:t>
      </w:r>
      <w:r>
        <w:rPr>
          <w:rFonts w:ascii="Arial" w:hAnsi="Arial" w:cs="Arial"/>
          <w:bCs/>
          <w:color w:val="000000"/>
        </w:rPr>
        <w:t>, te se očitane vrijednosti mogu koristit za daljnje računanje ponovljivosti.</w:t>
      </w:r>
    </w:p>
    <w:p w14:paraId="6115D92B" w14:textId="4359848E" w:rsidR="00BB7BDF" w:rsidRDefault="00BB7BDF" w:rsidP="0026508F">
      <w:pP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>
        <w:rPr>
          <w:rFonts w:ascii="Arial" w:hAnsi="Arial" w:cs="Arial"/>
          <w:bCs/>
          <w:color w:val="000000"/>
        </w:rPr>
        <w:t xml:space="preserve">Iz dobivenih vrijednosti </w:t>
      </w:r>
      <w:r w:rsidRPr="00307F36">
        <w:rPr>
          <w:rFonts w:ascii="Arial" w:hAnsi="Arial" w:cs="Arial"/>
          <w:bCs/>
          <w:color w:val="000000"/>
        </w:rPr>
        <w:t>ciljanih mikroorganizama</w:t>
      </w:r>
      <w:r>
        <w:rPr>
          <w:rFonts w:ascii="Arial" w:hAnsi="Arial" w:cs="Arial"/>
          <w:bCs/>
          <w:color w:val="000000"/>
        </w:rPr>
        <w:t xml:space="preserve"> izračunamo </w:t>
      </w:r>
      <w:r w:rsidRPr="00BB7BD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relativn</w:t>
      </w: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u</w:t>
      </w:r>
      <w:r w:rsidRPr="00BB7BD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operacijsk</w:t>
      </w: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u</w:t>
      </w:r>
      <w:r w:rsidRPr="00BB7BD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varijanc</w:t>
      </w: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u (</w:t>
      </w:r>
      <w:r w:rsidRPr="00BB7BDF"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  <w:t>u</w:t>
      </w:r>
      <w:r w:rsidRPr="00BB7BDF">
        <w:rPr>
          <w:rFonts w:ascii="Arial" w:eastAsia="Times New Roman" w:hAnsi="Arial" w:cs="Arial"/>
          <w:b/>
          <w:color w:val="000000"/>
          <w:kern w:val="0"/>
          <w:vertAlign w:val="subscript"/>
          <w:lang w:eastAsia="hr-HR"/>
          <w14:ligatures w14:val="none"/>
        </w:rPr>
        <w:t>0</w:t>
      </w:r>
      <w:r w:rsidRPr="00BB7BDF">
        <w:rPr>
          <w:rFonts w:ascii="Arial" w:eastAsia="Times New Roman" w:hAnsi="Arial" w:cs="Arial"/>
          <w:b/>
          <w:color w:val="000000"/>
          <w:kern w:val="0"/>
          <w:vertAlign w:val="superscript"/>
          <w:lang w:eastAsia="hr-HR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) svakog seta</w:t>
      </w:r>
      <w:r>
        <w:rPr>
          <w:rFonts w:ascii="Arial" w:hAnsi="Arial" w:cs="Arial"/>
          <w:bCs/>
          <w:color w:val="000000"/>
        </w:rPr>
        <w:t xml:space="preserve"> ponavljanja</w:t>
      </w:r>
      <w:r w:rsidR="009B625E">
        <w:rPr>
          <w:rFonts w:ascii="Arial" w:hAnsi="Arial" w:cs="Arial"/>
          <w:bCs/>
          <w:color w:val="000000"/>
        </w:rPr>
        <w:t xml:space="preserve"> prema formuli:</w:t>
      </w: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</w:t>
      </w:r>
    </w:p>
    <w:p w14:paraId="4EC161AD" w14:textId="77777777" w:rsidR="00BB7BDF" w:rsidRPr="00BB7BDF" w:rsidRDefault="00BB7BDF" w:rsidP="00C67256">
      <w:pPr>
        <w:jc w:val="center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BB7BDF"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  <w:t>u</w:t>
      </w:r>
      <w:r w:rsidRPr="00BB7BDF">
        <w:rPr>
          <w:rFonts w:ascii="Arial" w:eastAsia="Times New Roman" w:hAnsi="Arial" w:cs="Arial"/>
          <w:b/>
          <w:color w:val="000000"/>
          <w:kern w:val="0"/>
          <w:vertAlign w:val="subscript"/>
          <w:lang w:eastAsia="hr-HR"/>
          <w14:ligatures w14:val="none"/>
        </w:rPr>
        <w:t>0</w:t>
      </w:r>
      <w:r w:rsidRPr="00BB7BDF">
        <w:rPr>
          <w:rFonts w:ascii="Arial" w:eastAsia="Times New Roman" w:hAnsi="Arial" w:cs="Arial"/>
          <w:b/>
          <w:color w:val="000000"/>
          <w:kern w:val="0"/>
          <w:vertAlign w:val="superscript"/>
          <w:lang w:eastAsia="hr-HR"/>
          <w14:ligatures w14:val="none"/>
        </w:rPr>
        <w:t>2</w:t>
      </w:r>
      <w:r w:rsidRPr="00BB7BD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-relativna operacijska varijanca =(</w:t>
      </w:r>
      <w:r w:rsidRPr="00BB7BDF"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  <w:t>varijanca-srednja vrijednost)/(srednja vrijednost)</w:t>
      </w:r>
      <w:r w:rsidRPr="00BB7BDF">
        <w:rPr>
          <w:rFonts w:ascii="Arial" w:eastAsia="Times New Roman" w:hAnsi="Arial" w:cs="Arial"/>
          <w:b/>
          <w:color w:val="000000"/>
          <w:kern w:val="0"/>
          <w:vertAlign w:val="superscript"/>
          <w:lang w:eastAsia="hr-HR"/>
          <w14:ligatures w14:val="none"/>
        </w:rPr>
        <w:t>2</w:t>
      </w:r>
    </w:p>
    <w:p w14:paraId="56CF6096" w14:textId="088E89E5" w:rsidR="00BB7BDF" w:rsidRPr="00BB7BDF" w:rsidRDefault="00BB7BDF" w:rsidP="00BB7BDF">
      <w:pPr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Korijen prosjeka relativnih</w:t>
      </w:r>
      <w:r w:rsidRPr="00BB7BD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operacijsk</w:t>
      </w: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ih</w:t>
      </w:r>
      <w:r w:rsidRPr="00BB7BD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varijanca</w:t>
      </w:r>
      <w:r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je </w:t>
      </w:r>
      <w:r w:rsidRPr="00307F36">
        <w:rPr>
          <w:rFonts w:ascii="Arial" w:hAnsi="Arial" w:cs="Arial"/>
          <w:color w:val="000000"/>
        </w:rPr>
        <w:t>relativna standardna devijacija</w:t>
      </w:r>
      <w:r>
        <w:rPr>
          <w:rFonts w:ascii="Arial" w:hAnsi="Arial" w:cs="Arial"/>
          <w:color w:val="000000"/>
        </w:rPr>
        <w:t xml:space="preserve"> ponovljivosti (</w:t>
      </w: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</w:t>
      </w:r>
      <w:r w:rsidR="00C67256">
        <w:rPr>
          <w:rFonts w:ascii="Arial" w:hAnsi="Arial" w:cs="Arial"/>
          <w:color w:val="000000"/>
        </w:rPr>
        <w:t>), te se izražava u postotcima.</w:t>
      </w:r>
    </w:p>
    <w:p w14:paraId="35C02954" w14:textId="7D200703" w:rsidR="00756E8F" w:rsidRPr="00307F36" w:rsidRDefault="00756E8F" w:rsidP="00C67256">
      <w:pPr>
        <w:jc w:val="center"/>
        <w:rPr>
          <w:rFonts w:ascii="Arial" w:hAnsi="Arial" w:cs="Arial"/>
          <w:color w:val="000000"/>
        </w:rPr>
      </w:pP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</w:t>
      </w:r>
      <w:r w:rsidRPr="00307F36">
        <w:rPr>
          <w:rFonts w:ascii="Arial" w:hAnsi="Arial" w:cs="Arial"/>
          <w:color w:val="000000"/>
        </w:rPr>
        <w:t xml:space="preserve"> -relativna standardna devijacija ponovljivosti = </w:t>
      </w:r>
      <w:r w:rsidRPr="00307F36">
        <w:rPr>
          <w:rFonts w:ascii="Calibri" w:hAnsi="Calibri" w:cs="Arial"/>
          <w:b/>
          <w:color w:val="000000"/>
        </w:rPr>
        <w:t>√</w:t>
      </w:r>
      <w:r w:rsidR="00C67256" w:rsidRPr="00BB7BDF"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  <w:t>u</w:t>
      </w:r>
      <w:r w:rsidR="00C67256" w:rsidRPr="00BB7BDF">
        <w:rPr>
          <w:rFonts w:ascii="Arial" w:eastAsia="Times New Roman" w:hAnsi="Arial" w:cs="Arial"/>
          <w:b/>
          <w:color w:val="000000"/>
          <w:kern w:val="0"/>
          <w:vertAlign w:val="subscript"/>
          <w:lang w:eastAsia="hr-HR"/>
          <w14:ligatures w14:val="none"/>
        </w:rPr>
        <w:t>0</w:t>
      </w:r>
      <w:r w:rsidR="00C67256" w:rsidRPr="00BB7BDF">
        <w:rPr>
          <w:rFonts w:ascii="Arial" w:eastAsia="Times New Roman" w:hAnsi="Arial" w:cs="Arial"/>
          <w:b/>
          <w:color w:val="000000"/>
          <w:kern w:val="0"/>
          <w:vertAlign w:val="superscript"/>
          <w:lang w:eastAsia="hr-HR"/>
          <w14:ligatures w14:val="none"/>
        </w:rPr>
        <w:t>2</w:t>
      </w:r>
      <w:r w:rsidRPr="00307F36">
        <w:rPr>
          <w:rFonts w:ascii="Arial" w:hAnsi="Arial" w:cs="Arial"/>
          <w:color w:val="000000"/>
        </w:rPr>
        <w:t xml:space="preserve"> (%)</w:t>
      </w:r>
    </w:p>
    <w:p w14:paraId="635F72C1" w14:textId="77777777" w:rsidR="00756E8F" w:rsidRDefault="00756E8F" w:rsidP="00756E8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FC243CF" w14:textId="4C0C7DF6" w:rsidR="00756E8F" w:rsidRPr="00C67256" w:rsidRDefault="00C67256" w:rsidP="00C6725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307F36">
        <w:rPr>
          <w:rFonts w:ascii="Arial" w:hAnsi="Arial" w:cs="Arial"/>
          <w:color w:val="000000"/>
        </w:rPr>
        <w:t>elativna standardna devijacija</w:t>
      </w:r>
      <w:r>
        <w:rPr>
          <w:rFonts w:ascii="Arial" w:hAnsi="Arial" w:cs="Arial"/>
          <w:color w:val="000000"/>
        </w:rPr>
        <w:t xml:space="preserve"> ponovljivosti (</w:t>
      </w: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</w:t>
      </w:r>
      <w:r>
        <w:rPr>
          <w:rFonts w:ascii="Arial" w:hAnsi="Arial" w:cs="Arial"/>
          <w:color w:val="000000"/>
        </w:rPr>
        <w:t>)</w:t>
      </w:r>
      <w:r w:rsidRPr="00C67256">
        <w:t xml:space="preserve"> </w:t>
      </w:r>
      <w:r>
        <w:rPr>
          <w:rFonts w:ascii="Arial" w:hAnsi="Arial" w:cs="Arial"/>
          <w:color w:val="000000"/>
        </w:rPr>
        <w:t xml:space="preserve">odgovara izvedbi ispitivane metode </w:t>
      </w:r>
      <w:r w:rsidRPr="00C67256">
        <w:rPr>
          <w:rFonts w:ascii="Arial" w:hAnsi="Arial" w:cs="Arial"/>
          <w:color w:val="000000"/>
        </w:rPr>
        <w:t>na ispit</w:t>
      </w:r>
      <w:r>
        <w:rPr>
          <w:rFonts w:ascii="Arial" w:hAnsi="Arial" w:cs="Arial"/>
          <w:color w:val="000000"/>
        </w:rPr>
        <w:t>ivanom</w:t>
      </w:r>
      <w:r w:rsidRPr="00C67256">
        <w:rPr>
          <w:rFonts w:ascii="Arial" w:hAnsi="Arial" w:cs="Arial"/>
          <w:color w:val="000000"/>
        </w:rPr>
        <w:t xml:space="preserve"> materijalu</w:t>
      </w:r>
      <w:r>
        <w:rPr>
          <w:rFonts w:ascii="Arial" w:hAnsi="Arial" w:cs="Arial"/>
          <w:color w:val="000000"/>
        </w:rPr>
        <w:t xml:space="preserve"> </w:t>
      </w:r>
      <w:r w:rsidR="00EA2736">
        <w:rPr>
          <w:rFonts w:ascii="Arial" w:hAnsi="Arial" w:cs="Arial"/>
          <w:color w:val="000000"/>
        </w:rPr>
        <w:t>u ponovljivim uvjetima, te nema zadane granice.</w:t>
      </w:r>
    </w:p>
    <w:p w14:paraId="202A22B4" w14:textId="77777777" w:rsidR="00756E8F" w:rsidRDefault="00756E8F" w:rsidP="00756E8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4EB0A4D" w14:textId="77777777" w:rsidR="007C0920" w:rsidRDefault="007C0920" w:rsidP="00756E8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27415AC5" w14:textId="77777777" w:rsidR="0040296A" w:rsidRDefault="0040296A" w:rsidP="0040296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Primjer dostupan u Prilogu 2a. Predložak za verifikaciju</w:t>
      </w:r>
      <w:r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mikrobiološke metode</w:t>
      </w:r>
    </w:p>
    <w:p w14:paraId="161D6686" w14:textId="77777777" w:rsidR="00756E8F" w:rsidRDefault="00756E8F" w:rsidP="00756E8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00F2CF0B" w14:textId="77777777" w:rsidR="00756E8F" w:rsidRDefault="00756E8F" w:rsidP="00756E8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42F96361" w14:textId="04D25280" w:rsidR="007C3478" w:rsidRPr="007C3478" w:rsidRDefault="00B36E44" w:rsidP="00D97813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B36E44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lastRenderedPageBreak/>
        <w:t>Nesigurnost brojenja</w:t>
      </w:r>
    </w:p>
    <w:p w14:paraId="3FC9FD63" w14:textId="77777777" w:rsidR="00756E8F" w:rsidRPr="00975663" w:rsidRDefault="00756E8F" w:rsidP="00756E8F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07E36A58" w14:textId="6C959DF7" w:rsidR="001201AA" w:rsidRDefault="00DA3EE5" w:rsidP="00DA3EE5">
      <w:pPr>
        <w:tabs>
          <w:tab w:val="num" w:pos="1260"/>
        </w:tabs>
        <w:rPr>
          <w:rFonts w:ascii="Arial" w:hAnsi="Arial" w:cs="Arial"/>
          <w:lang w:val="en-AU"/>
        </w:rPr>
      </w:pPr>
      <w:r w:rsidRPr="00307F36">
        <w:rPr>
          <w:rFonts w:ascii="Arial" w:hAnsi="Arial" w:cs="Arial"/>
          <w:lang w:val="en-AU"/>
        </w:rPr>
        <w:t xml:space="preserve">Nesigurnost brojenja se određuje ponovljenim brojanjem kolonija istih ploča </w:t>
      </w:r>
      <w:r w:rsidR="001201AA">
        <w:rPr>
          <w:rFonts w:ascii="Arial" w:hAnsi="Arial" w:cs="Arial"/>
          <w:lang w:val="en-AU"/>
        </w:rPr>
        <w:t xml:space="preserve">ili </w:t>
      </w:r>
      <w:r w:rsidR="001201AA" w:rsidRPr="001201AA">
        <w:rPr>
          <w:rFonts w:ascii="Arial" w:hAnsi="Arial" w:cs="Arial"/>
          <w:lang w:val="en-AU"/>
        </w:rPr>
        <w:t xml:space="preserve">ponovljenim brojanjem jažica </w:t>
      </w:r>
      <w:r w:rsidR="001201AA">
        <w:rPr>
          <w:rFonts w:ascii="Arial" w:hAnsi="Arial" w:cs="Arial"/>
          <w:lang w:val="en-AU"/>
        </w:rPr>
        <w:t xml:space="preserve">testa MPN metode </w:t>
      </w:r>
      <w:r w:rsidR="001201AA" w:rsidRPr="00307F36">
        <w:rPr>
          <w:rFonts w:ascii="Arial" w:hAnsi="Arial" w:cs="Arial"/>
          <w:lang w:val="en-AU"/>
        </w:rPr>
        <w:t>kroz kratko vrijeme (maksimalno 1 sat)</w:t>
      </w:r>
      <w:r w:rsidR="001201AA">
        <w:rPr>
          <w:rFonts w:ascii="Arial" w:hAnsi="Arial" w:cs="Arial"/>
          <w:lang w:val="en-AU"/>
        </w:rPr>
        <w:t xml:space="preserve">. Za nesigurnost brojenja se mogu koristiti ploče ili testovi koji su korišteni za određivanje ponovljivosti. </w:t>
      </w:r>
    </w:p>
    <w:p w14:paraId="41BDFA65" w14:textId="451C7A7F" w:rsidR="007C3478" w:rsidRPr="007C3478" w:rsidRDefault="007C3478" w:rsidP="007C3478">
      <w:pPr>
        <w:tabs>
          <w:tab w:val="num" w:pos="1260"/>
        </w:tabs>
        <w:rPr>
          <w:rFonts w:ascii="Arial" w:hAnsi="Arial" w:cs="Arial"/>
          <w:b/>
          <w:lang w:val="en-AU"/>
        </w:rPr>
      </w:pPr>
      <w:r w:rsidRPr="007C3478">
        <w:rPr>
          <w:rFonts w:ascii="Arial" w:hAnsi="Arial" w:cs="Arial"/>
          <w:b/>
          <w:lang w:val="en-AU"/>
        </w:rPr>
        <w:t>1.2.1. Individualna nesigurnost brojenja</w:t>
      </w:r>
    </w:p>
    <w:p w14:paraId="76666107" w14:textId="0F16D191" w:rsidR="00E16324" w:rsidRDefault="001201AA" w:rsidP="007C3478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Individualna </w:t>
      </w:r>
      <w:r w:rsidR="00E16324">
        <w:rPr>
          <w:rFonts w:ascii="Arial" w:hAnsi="Arial" w:cs="Arial"/>
          <w:lang w:val="en-AU"/>
        </w:rPr>
        <w:t>nesigurnost broje</w:t>
      </w:r>
      <w:r>
        <w:rPr>
          <w:rFonts w:ascii="Arial" w:hAnsi="Arial" w:cs="Arial"/>
          <w:lang w:val="en-AU"/>
        </w:rPr>
        <w:t xml:space="preserve">nja se određuje na način da </w:t>
      </w:r>
      <w:r w:rsidR="00A92FD7">
        <w:rPr>
          <w:rFonts w:ascii="Arial" w:hAnsi="Arial" w:cs="Arial"/>
          <w:lang w:val="en-AU"/>
        </w:rPr>
        <w:t>isti analitičar</w:t>
      </w:r>
      <w:r>
        <w:rPr>
          <w:rFonts w:ascii="Arial" w:hAnsi="Arial" w:cs="Arial"/>
          <w:lang w:val="en-AU"/>
        </w:rPr>
        <w:t xml:space="preserve"> 2 puta očitava </w:t>
      </w:r>
      <w:r w:rsidRPr="00307F36">
        <w:rPr>
          <w:rFonts w:ascii="Arial" w:hAnsi="Arial" w:cs="Arial"/>
          <w:lang w:val="en-AU"/>
        </w:rPr>
        <w:t>broj</w:t>
      </w:r>
      <w:r>
        <w:rPr>
          <w:rFonts w:ascii="Arial" w:hAnsi="Arial" w:cs="Arial"/>
          <w:lang w:val="en-AU"/>
        </w:rPr>
        <w:t xml:space="preserve"> </w:t>
      </w:r>
      <w:r w:rsidRPr="00307F36">
        <w:rPr>
          <w:rFonts w:ascii="Arial" w:hAnsi="Arial" w:cs="Arial"/>
          <w:lang w:val="en-AU"/>
        </w:rPr>
        <w:t>kolonija istih ploča</w:t>
      </w:r>
      <w:r>
        <w:rPr>
          <w:rFonts w:ascii="Arial" w:hAnsi="Arial" w:cs="Arial"/>
          <w:lang w:val="en-AU"/>
        </w:rPr>
        <w:t xml:space="preserve"> ili </w:t>
      </w:r>
      <w:r w:rsidRPr="001201AA">
        <w:rPr>
          <w:rFonts w:ascii="Arial" w:hAnsi="Arial" w:cs="Arial"/>
          <w:lang w:val="en-AU"/>
        </w:rPr>
        <w:t xml:space="preserve">jažica </w:t>
      </w:r>
      <w:r>
        <w:rPr>
          <w:rFonts w:ascii="Arial" w:hAnsi="Arial" w:cs="Arial"/>
          <w:lang w:val="en-AU"/>
        </w:rPr>
        <w:t>testa MPN metode</w:t>
      </w:r>
      <w:r w:rsidR="007C3478">
        <w:rPr>
          <w:rFonts w:ascii="Arial" w:hAnsi="Arial" w:cs="Arial"/>
          <w:lang w:val="en-AU"/>
        </w:rPr>
        <w:t xml:space="preserve">, </w:t>
      </w:r>
      <w:r>
        <w:rPr>
          <w:rFonts w:ascii="Arial" w:hAnsi="Arial" w:cs="Arial"/>
          <w:lang w:val="en-AU"/>
        </w:rPr>
        <w:t>unutar 1 sata</w:t>
      </w:r>
      <w:r w:rsidR="00782110">
        <w:rPr>
          <w:rFonts w:ascii="Arial" w:hAnsi="Arial" w:cs="Arial"/>
          <w:lang w:val="en-AU"/>
        </w:rPr>
        <w:t xml:space="preserve"> (minimalno 10 ploča ili testova)</w:t>
      </w:r>
      <w:r>
        <w:rPr>
          <w:rFonts w:ascii="Arial" w:hAnsi="Arial" w:cs="Arial"/>
          <w:lang w:val="en-AU"/>
        </w:rPr>
        <w:t xml:space="preserve">. </w:t>
      </w:r>
    </w:p>
    <w:p w14:paraId="434BF1E5" w14:textId="7860660E" w:rsidR="001201AA" w:rsidRDefault="00E16324" w:rsidP="00DA3EE5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Iz razlika očitavanja se izračuna </w:t>
      </w:r>
      <w:r w:rsidR="009B625E">
        <w:rPr>
          <w:rFonts w:ascii="Arial" w:hAnsi="Arial" w:cs="Arial"/>
          <w:lang w:val="en-AU"/>
        </w:rPr>
        <w:t>relativna varijanca broje</w:t>
      </w:r>
      <w:r w:rsidRPr="00E16324">
        <w:rPr>
          <w:rFonts w:ascii="Arial" w:hAnsi="Arial" w:cs="Arial"/>
          <w:lang w:val="en-AU"/>
        </w:rPr>
        <w:t>nja</w:t>
      </w:r>
      <w:r>
        <w:rPr>
          <w:rFonts w:ascii="Arial" w:hAnsi="Arial" w:cs="Arial"/>
          <w:lang w:val="en-AU"/>
        </w:rPr>
        <w:t xml:space="preserve"> (</w:t>
      </w: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rel,L</w:t>
      </w:r>
      <w:r>
        <w:rPr>
          <w:rFonts w:ascii="Arial" w:hAnsi="Arial" w:cs="Arial"/>
          <w:lang w:val="en-AU"/>
        </w:rPr>
        <w:t>)</w:t>
      </w:r>
      <w:r w:rsidR="00E63C1F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prema sljedeć</w:t>
      </w:r>
      <w:r w:rsidR="00E63C1F">
        <w:rPr>
          <w:rFonts w:ascii="Arial" w:hAnsi="Arial" w:cs="Arial"/>
          <w:lang w:val="en-AU"/>
        </w:rPr>
        <w:t>im</w:t>
      </w:r>
      <w:r>
        <w:rPr>
          <w:rFonts w:ascii="Arial" w:hAnsi="Arial" w:cs="Arial"/>
          <w:lang w:val="en-AU"/>
        </w:rPr>
        <w:t xml:space="preserve"> formul</w:t>
      </w:r>
      <w:r w:rsidR="00E63C1F">
        <w:rPr>
          <w:rFonts w:ascii="Arial" w:hAnsi="Arial" w:cs="Arial"/>
          <w:lang w:val="en-AU"/>
        </w:rPr>
        <w:t>ama</w:t>
      </w:r>
      <w:r>
        <w:rPr>
          <w:rFonts w:ascii="Arial" w:hAnsi="Arial" w:cs="Arial"/>
          <w:lang w:val="en-AU"/>
        </w:rPr>
        <w:t>:</w:t>
      </w:r>
    </w:p>
    <w:p w14:paraId="15DA6521" w14:textId="77777777" w:rsidR="00E16324" w:rsidRPr="00307F36" w:rsidRDefault="00E16324" w:rsidP="00E16324">
      <w:pPr>
        <w:tabs>
          <w:tab w:val="num" w:pos="1260"/>
        </w:tabs>
        <w:jc w:val="center"/>
        <w:rPr>
          <w:rFonts w:ascii="Arial" w:hAnsi="Arial" w:cs="Arial"/>
          <w:lang w:val="en-AU"/>
        </w:rPr>
      </w:pP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 xml:space="preserve">rel,L </w:t>
      </w:r>
      <w:r w:rsidRPr="00307F36">
        <w:rPr>
          <w:rFonts w:ascii="Arial" w:hAnsi="Arial" w:cs="Arial"/>
          <w:b/>
          <w:bCs/>
          <w:color w:val="000000"/>
        </w:rPr>
        <w:t>=2*(1očitanje-2 očitanje/1očitanje +2 očitanje)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</w:p>
    <w:p w14:paraId="1B831B44" w14:textId="0412A542" w:rsidR="00E16324" w:rsidRDefault="00E16324" w:rsidP="00DA3EE5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za </w:t>
      </w:r>
      <w:proofErr w:type="spellStart"/>
      <w:r w:rsidR="007C0920">
        <w:rPr>
          <w:rFonts w:ascii="Arial" w:hAnsi="Arial" w:cs="Arial"/>
          <w:lang w:val="en-AU"/>
        </w:rPr>
        <w:t>broje</w:t>
      </w:r>
      <w:r w:rsidRPr="00307F36">
        <w:rPr>
          <w:rFonts w:ascii="Arial" w:hAnsi="Arial" w:cs="Arial"/>
          <w:lang w:val="en-AU"/>
        </w:rPr>
        <w:t>nje</w:t>
      </w:r>
      <w:proofErr w:type="spellEnd"/>
      <w:r w:rsidRPr="00307F36">
        <w:rPr>
          <w:rFonts w:ascii="Arial" w:hAnsi="Arial" w:cs="Arial"/>
          <w:lang w:val="en-AU"/>
        </w:rPr>
        <w:t xml:space="preserve"> </w:t>
      </w:r>
      <w:proofErr w:type="spellStart"/>
      <w:r w:rsidRPr="00307F36">
        <w:rPr>
          <w:rFonts w:ascii="Arial" w:hAnsi="Arial" w:cs="Arial"/>
          <w:lang w:val="en-AU"/>
        </w:rPr>
        <w:t>kolonija</w:t>
      </w:r>
      <w:proofErr w:type="spellEnd"/>
      <w:r w:rsidRPr="00307F36">
        <w:rPr>
          <w:rFonts w:ascii="Arial" w:hAnsi="Arial" w:cs="Arial"/>
          <w:lang w:val="en-AU"/>
        </w:rPr>
        <w:t xml:space="preserve"> </w:t>
      </w:r>
      <w:proofErr w:type="spellStart"/>
      <w:r w:rsidRPr="00307F36">
        <w:rPr>
          <w:rFonts w:ascii="Arial" w:hAnsi="Arial" w:cs="Arial"/>
          <w:lang w:val="en-AU"/>
        </w:rPr>
        <w:t>istih</w:t>
      </w:r>
      <w:proofErr w:type="spellEnd"/>
      <w:r w:rsidRPr="00307F36">
        <w:rPr>
          <w:rFonts w:ascii="Arial" w:hAnsi="Arial" w:cs="Arial"/>
          <w:lang w:val="en-AU"/>
        </w:rPr>
        <w:t xml:space="preserve"> </w:t>
      </w:r>
      <w:proofErr w:type="spellStart"/>
      <w:r w:rsidRPr="00307F36">
        <w:rPr>
          <w:rFonts w:ascii="Arial" w:hAnsi="Arial" w:cs="Arial"/>
          <w:lang w:val="en-AU"/>
        </w:rPr>
        <w:t>ploča</w:t>
      </w:r>
      <w:proofErr w:type="spellEnd"/>
      <w:r>
        <w:rPr>
          <w:rFonts w:ascii="Arial" w:hAnsi="Arial" w:cs="Arial"/>
          <w:lang w:val="en-AU"/>
        </w:rPr>
        <w:t xml:space="preserve"> ili: </w:t>
      </w:r>
    </w:p>
    <w:p w14:paraId="21DA70BD" w14:textId="6D9E6A8D" w:rsidR="00E16324" w:rsidRPr="00307F36" w:rsidRDefault="00E16324" w:rsidP="00E16324">
      <w:pPr>
        <w:tabs>
          <w:tab w:val="num" w:pos="1260"/>
        </w:tabs>
        <w:jc w:val="center"/>
        <w:rPr>
          <w:rFonts w:ascii="Arial" w:hAnsi="Arial" w:cs="Arial"/>
          <w:lang w:val="en-AU"/>
        </w:rPr>
      </w:pP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rel,L</w:t>
      </w:r>
      <w:r>
        <w:rPr>
          <w:rFonts w:ascii="Arial" w:hAnsi="Arial" w:cs="Arial"/>
          <w:b/>
          <w:bCs/>
          <w:color w:val="000000"/>
        </w:rPr>
        <w:t>=</w:t>
      </w:r>
      <w:r w:rsidRPr="00307F36">
        <w:rPr>
          <w:rFonts w:ascii="Arial" w:hAnsi="Arial" w:cs="Arial"/>
          <w:b/>
          <w:bCs/>
          <w:color w:val="000000"/>
        </w:rPr>
        <w:t xml:space="preserve"> (</w:t>
      </w:r>
      <w:r w:rsidR="00E63C1F" w:rsidRPr="00E63C1F">
        <w:rPr>
          <w:rFonts w:ascii="Arial" w:hAnsi="Arial" w:cs="Arial"/>
          <w:b/>
          <w:bCs/>
          <w:color w:val="000000"/>
        </w:rPr>
        <w:t>SD</w:t>
      </w:r>
      <w:r w:rsidR="00E63C1F">
        <w:rPr>
          <w:rFonts w:ascii="Arial" w:hAnsi="Arial" w:cs="Arial"/>
          <w:b/>
          <w:bCs/>
          <w:color w:val="000000"/>
        </w:rPr>
        <w:t>/</w:t>
      </w:r>
      <w:r w:rsidR="00E63C1F">
        <w:rPr>
          <w:rFonts w:ascii="Arial" w:hAnsi="Arial" w:cs="Arial"/>
          <w:color w:val="040C28"/>
          <w:sz w:val="30"/>
          <w:szCs w:val="30"/>
        </w:rPr>
        <w:t>x̄</w:t>
      </w:r>
      <w:r w:rsidRPr="00307F36">
        <w:rPr>
          <w:rFonts w:ascii="Arial" w:hAnsi="Arial" w:cs="Arial"/>
          <w:b/>
          <w:bCs/>
          <w:color w:val="000000"/>
        </w:rPr>
        <w:t>)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</w:p>
    <w:p w14:paraId="39D8AB89" w14:textId="5EF51304" w:rsidR="00D5578F" w:rsidRPr="00D5578F" w:rsidRDefault="007C0920" w:rsidP="00D5578F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za </w:t>
      </w:r>
      <w:proofErr w:type="spellStart"/>
      <w:r>
        <w:rPr>
          <w:rFonts w:ascii="Arial" w:hAnsi="Arial" w:cs="Arial"/>
          <w:lang w:val="en-AU"/>
        </w:rPr>
        <w:t>broje</w:t>
      </w:r>
      <w:r w:rsidR="00E63C1F">
        <w:rPr>
          <w:rFonts w:ascii="Arial" w:hAnsi="Arial" w:cs="Arial"/>
          <w:lang w:val="en-AU"/>
        </w:rPr>
        <w:t>nje</w:t>
      </w:r>
      <w:proofErr w:type="spellEnd"/>
      <w:r w:rsidR="00E63C1F">
        <w:rPr>
          <w:rFonts w:ascii="Arial" w:hAnsi="Arial" w:cs="Arial"/>
          <w:lang w:val="en-AU"/>
        </w:rPr>
        <w:t xml:space="preserve"> </w:t>
      </w:r>
      <w:proofErr w:type="spellStart"/>
      <w:r w:rsidR="00E63C1F">
        <w:rPr>
          <w:rFonts w:ascii="Arial" w:hAnsi="Arial" w:cs="Arial"/>
          <w:lang w:val="en-AU"/>
        </w:rPr>
        <w:t>jažica</w:t>
      </w:r>
      <w:proofErr w:type="spellEnd"/>
      <w:r w:rsidR="00E63C1F">
        <w:rPr>
          <w:rFonts w:ascii="Arial" w:hAnsi="Arial" w:cs="Arial"/>
          <w:lang w:val="en-AU"/>
        </w:rPr>
        <w:t xml:space="preserve"> </w:t>
      </w:r>
      <w:proofErr w:type="spellStart"/>
      <w:r w:rsidR="00E63C1F">
        <w:rPr>
          <w:rFonts w:ascii="Arial" w:hAnsi="Arial" w:cs="Arial"/>
          <w:lang w:val="en-AU"/>
        </w:rPr>
        <w:t>istih</w:t>
      </w:r>
      <w:proofErr w:type="spellEnd"/>
      <w:r w:rsidR="00E63C1F">
        <w:rPr>
          <w:rFonts w:ascii="Arial" w:hAnsi="Arial" w:cs="Arial"/>
          <w:lang w:val="en-AU"/>
        </w:rPr>
        <w:t xml:space="preserve"> </w:t>
      </w:r>
      <w:proofErr w:type="spellStart"/>
      <w:r w:rsidR="00E63C1F">
        <w:rPr>
          <w:rFonts w:ascii="Arial" w:hAnsi="Arial" w:cs="Arial"/>
          <w:lang w:val="en-AU"/>
        </w:rPr>
        <w:t>testova</w:t>
      </w:r>
      <w:proofErr w:type="spellEnd"/>
      <w:r w:rsidR="00E63C1F">
        <w:rPr>
          <w:rFonts w:ascii="Arial" w:hAnsi="Arial" w:cs="Arial"/>
          <w:lang w:val="en-AU"/>
        </w:rPr>
        <w:t xml:space="preserve"> MPN metode</w:t>
      </w:r>
      <w:r w:rsidR="00D5578F" w:rsidRPr="00D5578F">
        <w:t xml:space="preserve"> </w:t>
      </w:r>
      <w:r w:rsidR="00D5578F" w:rsidRPr="00D5578F">
        <w:rPr>
          <w:rFonts w:ascii="Arial" w:hAnsi="Arial" w:cs="Arial"/>
          <w:lang w:val="en-AU"/>
        </w:rPr>
        <w:t>gdje je:</w:t>
      </w:r>
    </w:p>
    <w:p w14:paraId="483986D4" w14:textId="7AB5A44C" w:rsidR="00D5578F" w:rsidRPr="00D5578F" w:rsidRDefault="00D5578F" w:rsidP="00D5578F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SD</w:t>
      </w:r>
      <w:r w:rsidRPr="00D5578F">
        <w:rPr>
          <w:rFonts w:ascii="Arial" w:hAnsi="Arial" w:cs="Arial"/>
          <w:lang w:val="en-AU"/>
        </w:rPr>
        <w:t xml:space="preserve"> - standardna devijacija </w:t>
      </w:r>
      <w:r>
        <w:rPr>
          <w:rFonts w:ascii="Arial" w:hAnsi="Arial" w:cs="Arial"/>
          <w:lang w:val="en-AU"/>
        </w:rPr>
        <w:t>očitavanja</w:t>
      </w:r>
    </w:p>
    <w:p w14:paraId="6E6DD2C3" w14:textId="47C788CE" w:rsidR="00E16324" w:rsidRDefault="00D5578F" w:rsidP="00D5578F">
      <w:pPr>
        <w:tabs>
          <w:tab w:val="num" w:pos="1260"/>
        </w:tabs>
        <w:rPr>
          <w:rFonts w:ascii="Arial" w:hAnsi="Arial" w:cs="Arial"/>
          <w:lang w:val="en-AU"/>
        </w:rPr>
      </w:pPr>
      <w:r w:rsidRPr="00D5578F">
        <w:rPr>
          <w:rFonts w:ascii="Arial" w:hAnsi="Arial" w:cs="Arial"/>
          <w:lang w:val="en-AU"/>
        </w:rPr>
        <w:t xml:space="preserve">x̄- </w:t>
      </w:r>
      <w:r>
        <w:rPr>
          <w:rFonts w:ascii="Arial" w:hAnsi="Arial" w:cs="Arial"/>
          <w:lang w:val="en-AU"/>
        </w:rPr>
        <w:t>srednja vrijednost očitavanja</w:t>
      </w:r>
      <w:r w:rsidR="00782110">
        <w:rPr>
          <w:rFonts w:ascii="Arial" w:hAnsi="Arial" w:cs="Arial"/>
          <w:b/>
          <w:bCs/>
          <w:color w:val="000000"/>
        </w:rPr>
        <w:t xml:space="preserve"> </w:t>
      </w:r>
      <w:r w:rsidR="00782110">
        <w:rPr>
          <w:rFonts w:ascii="Arial" w:hAnsi="Arial" w:cs="Arial"/>
          <w:lang w:val="en-AU"/>
        </w:rPr>
        <w:t xml:space="preserve"> </w:t>
      </w:r>
    </w:p>
    <w:p w14:paraId="7B4C1AC8" w14:textId="77777777" w:rsidR="00756E8F" w:rsidRDefault="00756E8F" w:rsidP="00756E8F">
      <w:pPr>
        <w:pStyle w:val="BodyTextIndent"/>
        <w:tabs>
          <w:tab w:val="clear" w:pos="1080"/>
          <w:tab w:val="left" w:pos="709"/>
        </w:tabs>
        <w:ind w:left="0"/>
        <w:rPr>
          <w:rFonts w:ascii="Arial" w:hAnsi="Arial" w:cs="Arial"/>
          <w:sz w:val="22"/>
          <w:szCs w:val="22"/>
        </w:rPr>
      </w:pPr>
    </w:p>
    <w:p w14:paraId="55B0B51D" w14:textId="56D294E8" w:rsidR="00E63C1F" w:rsidRDefault="00E63C1F" w:rsidP="00756E8F">
      <w:pPr>
        <w:pStyle w:val="BodyTextIndent"/>
        <w:tabs>
          <w:tab w:val="clear" w:pos="1080"/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E63C1F">
        <w:rPr>
          <w:rFonts w:ascii="Arial" w:hAnsi="Arial" w:cs="Arial"/>
          <w:sz w:val="22"/>
          <w:szCs w:val="22"/>
        </w:rPr>
        <w:t>Individualna relativna standardna</w:t>
      </w:r>
      <w:r w:rsidR="00A92FD7">
        <w:rPr>
          <w:rFonts w:ascii="Arial" w:hAnsi="Arial" w:cs="Arial"/>
          <w:sz w:val="22"/>
          <w:szCs w:val="22"/>
        </w:rPr>
        <w:t xml:space="preserve"> nesigurnost ponovljivosti broje</w:t>
      </w:r>
      <w:r w:rsidRPr="00E63C1F">
        <w:rPr>
          <w:rFonts w:ascii="Arial" w:hAnsi="Arial" w:cs="Arial"/>
          <w:sz w:val="22"/>
          <w:szCs w:val="22"/>
        </w:rPr>
        <w:t>nja</w:t>
      </w:r>
      <w:r>
        <w:rPr>
          <w:rFonts w:ascii="Arial" w:hAnsi="Arial" w:cs="Arial"/>
          <w:sz w:val="22"/>
          <w:szCs w:val="22"/>
        </w:rPr>
        <w:t xml:space="preserve"> se izračunava </w:t>
      </w:r>
      <w:r w:rsidR="009B625E">
        <w:rPr>
          <w:rFonts w:ascii="Arial" w:hAnsi="Arial" w:cs="Arial"/>
          <w:sz w:val="22"/>
          <w:szCs w:val="22"/>
        </w:rPr>
        <w:t>iz relativne</w:t>
      </w:r>
      <w:r w:rsidR="009B625E" w:rsidRPr="009B625E">
        <w:rPr>
          <w:rFonts w:ascii="Arial" w:hAnsi="Arial" w:cs="Arial"/>
          <w:sz w:val="22"/>
          <w:szCs w:val="22"/>
        </w:rPr>
        <w:t xml:space="preserve"> varijanc</w:t>
      </w:r>
      <w:r w:rsidR="009B625E">
        <w:rPr>
          <w:rFonts w:ascii="Arial" w:hAnsi="Arial" w:cs="Arial"/>
          <w:sz w:val="22"/>
          <w:szCs w:val="22"/>
        </w:rPr>
        <w:t>e broje</w:t>
      </w:r>
      <w:r w:rsidR="009B625E" w:rsidRPr="009B625E">
        <w:rPr>
          <w:rFonts w:ascii="Arial" w:hAnsi="Arial" w:cs="Arial"/>
          <w:sz w:val="22"/>
          <w:szCs w:val="22"/>
        </w:rPr>
        <w:t>nja (</w:t>
      </w:r>
      <w:r w:rsidR="009B625E" w:rsidRPr="009B625E">
        <w:rPr>
          <w:rFonts w:ascii="Arial" w:hAnsi="Arial" w:cs="Arial"/>
          <w:b/>
          <w:bCs/>
          <w:sz w:val="22"/>
          <w:szCs w:val="22"/>
        </w:rPr>
        <w:t>u</w:t>
      </w:r>
      <w:r w:rsidR="009B625E" w:rsidRPr="009B625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9B625E" w:rsidRPr="009B625E">
        <w:rPr>
          <w:rFonts w:ascii="Arial" w:hAnsi="Arial" w:cs="Arial"/>
          <w:b/>
          <w:bCs/>
          <w:sz w:val="22"/>
          <w:szCs w:val="22"/>
          <w:vertAlign w:val="subscript"/>
        </w:rPr>
        <w:t>rel,L</w:t>
      </w:r>
      <w:r w:rsidR="009B625E" w:rsidRPr="009B625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prema sljedećoj formuli: </w:t>
      </w:r>
    </w:p>
    <w:p w14:paraId="58DB37ED" w14:textId="77210966" w:rsidR="00E63C1F" w:rsidRDefault="00E63C1F" w:rsidP="00756E8F">
      <w:pPr>
        <w:pStyle w:val="BodyTextIndent"/>
        <w:tabs>
          <w:tab w:val="clear" w:pos="1080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824BA6" w14:textId="11A785D4" w:rsidR="00DA3EE5" w:rsidRPr="00307F36" w:rsidRDefault="00DA3EE5" w:rsidP="00DA3EE5">
      <w:pPr>
        <w:tabs>
          <w:tab w:val="num" w:pos="1260"/>
        </w:tabs>
        <w:rPr>
          <w:rFonts w:ascii="Calibri" w:hAnsi="Calibri" w:cs="Arial"/>
          <w:b/>
          <w:color w:val="000000"/>
        </w:rPr>
      </w:pPr>
      <w:r w:rsidRPr="00307F36">
        <w:rPr>
          <w:rFonts w:ascii="Arial" w:hAnsi="Arial" w:cs="Arial"/>
          <w:b/>
          <w:lang w:val="en-AU"/>
        </w:rPr>
        <w:t>Individualna relativna standardna nesigurnost ponovljivosti brojanja=</w:t>
      </w:r>
      <w:r w:rsidR="00E63C1F">
        <w:rPr>
          <w:rFonts w:ascii="Arial" w:hAnsi="Arial" w:cs="Arial"/>
          <w:b/>
          <w:lang w:val="en-AU"/>
        </w:rPr>
        <w:t xml:space="preserve"> </w:t>
      </w:r>
      <w:r w:rsidRPr="00307F36">
        <w:rPr>
          <w:rFonts w:ascii="Calibri" w:hAnsi="Calibri" w:cs="Arial"/>
          <w:b/>
          <w:color w:val="000000"/>
        </w:rPr>
        <w:t>√(</w:t>
      </w:r>
      <w:r w:rsidRPr="00307F36">
        <w:rPr>
          <w:rFonts w:ascii="Arial" w:hAnsi="Arial" w:cs="Arial"/>
          <w:b/>
          <w:bCs/>
          <w:color w:val="000000"/>
          <w:sz w:val="16"/>
          <w:szCs w:val="16"/>
        </w:rPr>
        <w:t>prosjek</w:t>
      </w:r>
      <w:r w:rsidRPr="00307F36">
        <w:rPr>
          <w:rFonts w:ascii="Arial" w:hAnsi="Arial" w:cs="Arial"/>
          <w:b/>
          <w:bCs/>
          <w:color w:val="000000"/>
        </w:rPr>
        <w:t xml:space="preserve"> u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rel,L</w:t>
      </w:r>
      <w:r w:rsidRPr="00307F36">
        <w:rPr>
          <w:rFonts w:ascii="Calibri" w:hAnsi="Calibri" w:cs="Arial"/>
          <w:b/>
          <w:color w:val="000000"/>
        </w:rPr>
        <w:t xml:space="preserve">)*100 </w:t>
      </w:r>
    </w:p>
    <w:p w14:paraId="497FC69F" w14:textId="48DCF2FF" w:rsidR="00DA3EE5" w:rsidRDefault="00B96B95" w:rsidP="00DA3EE5">
      <w:pPr>
        <w:tabs>
          <w:tab w:val="num" w:pos="1260"/>
        </w:tabs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I</w:t>
      </w:r>
      <w:r w:rsidR="007C3478" w:rsidRPr="007C3478">
        <w:rPr>
          <w:rFonts w:ascii="Arial" w:hAnsi="Arial" w:cs="Arial"/>
          <w:lang w:val="en-AU"/>
        </w:rPr>
        <w:t>zražava</w:t>
      </w:r>
      <w:proofErr w:type="spellEnd"/>
      <w:r w:rsidR="007C3478" w:rsidRPr="007C347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se </w:t>
      </w:r>
      <w:r w:rsidR="007C3478" w:rsidRPr="007C3478">
        <w:rPr>
          <w:rFonts w:ascii="Arial" w:hAnsi="Arial" w:cs="Arial"/>
          <w:lang w:val="en-AU"/>
        </w:rPr>
        <w:t xml:space="preserve">u </w:t>
      </w:r>
      <w:proofErr w:type="spellStart"/>
      <w:r w:rsidR="007C3478" w:rsidRPr="007C3478">
        <w:rPr>
          <w:rFonts w:ascii="Arial" w:hAnsi="Arial" w:cs="Arial"/>
          <w:lang w:val="en-AU"/>
        </w:rPr>
        <w:t>postotcima</w:t>
      </w:r>
      <w:proofErr w:type="spellEnd"/>
      <w:r w:rsidR="007C3478" w:rsidRPr="007C3478">
        <w:rPr>
          <w:rFonts w:ascii="Arial" w:hAnsi="Arial" w:cs="Arial"/>
          <w:lang w:val="en-AU"/>
        </w:rPr>
        <w:t>.</w:t>
      </w:r>
    </w:p>
    <w:p w14:paraId="6B31160D" w14:textId="77777777" w:rsidR="007C3478" w:rsidRDefault="007C3478" w:rsidP="00DA3EE5">
      <w:pPr>
        <w:tabs>
          <w:tab w:val="num" w:pos="1260"/>
        </w:tabs>
        <w:rPr>
          <w:rFonts w:ascii="Arial" w:hAnsi="Arial" w:cs="Arial"/>
          <w:lang w:val="en-AU"/>
        </w:rPr>
      </w:pPr>
    </w:p>
    <w:p w14:paraId="08C73109" w14:textId="23008339" w:rsidR="007C3478" w:rsidRPr="007C3478" w:rsidRDefault="007C3478" w:rsidP="007C3478">
      <w:pPr>
        <w:tabs>
          <w:tab w:val="num" w:pos="1260"/>
        </w:tabs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1.2.2</w:t>
      </w:r>
      <w:r w:rsidRPr="007C3478">
        <w:rPr>
          <w:rFonts w:ascii="Arial" w:hAnsi="Arial" w:cs="Arial"/>
          <w:b/>
          <w:lang w:val="en-AU"/>
        </w:rPr>
        <w:t xml:space="preserve">. </w:t>
      </w:r>
      <w:r>
        <w:rPr>
          <w:rFonts w:ascii="Arial" w:hAnsi="Arial" w:cs="Arial"/>
          <w:b/>
          <w:lang w:val="en-AU"/>
        </w:rPr>
        <w:t>Laboratorijska</w:t>
      </w:r>
      <w:r w:rsidRPr="007C3478">
        <w:rPr>
          <w:rFonts w:ascii="Arial" w:hAnsi="Arial" w:cs="Arial"/>
          <w:b/>
          <w:lang w:val="en-AU"/>
        </w:rPr>
        <w:t xml:space="preserve"> nesigurnost brojenja</w:t>
      </w:r>
    </w:p>
    <w:p w14:paraId="33876D74" w14:textId="5EAE86EE" w:rsidR="007C3478" w:rsidRDefault="007C3478" w:rsidP="007C3478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Laboratorijska nesigurnost brojenja se određuje na način da različiti analitičari očitavaju </w:t>
      </w:r>
      <w:r w:rsidRPr="00307F36">
        <w:rPr>
          <w:rFonts w:ascii="Arial" w:hAnsi="Arial" w:cs="Arial"/>
          <w:lang w:val="en-AU"/>
        </w:rPr>
        <w:t>broj</w:t>
      </w:r>
      <w:r>
        <w:rPr>
          <w:rFonts w:ascii="Arial" w:hAnsi="Arial" w:cs="Arial"/>
          <w:lang w:val="en-AU"/>
        </w:rPr>
        <w:t xml:space="preserve"> </w:t>
      </w:r>
      <w:r w:rsidRPr="00307F36">
        <w:rPr>
          <w:rFonts w:ascii="Arial" w:hAnsi="Arial" w:cs="Arial"/>
          <w:lang w:val="en-AU"/>
        </w:rPr>
        <w:t>kolonija istih ploča</w:t>
      </w:r>
      <w:r>
        <w:rPr>
          <w:rFonts w:ascii="Arial" w:hAnsi="Arial" w:cs="Arial"/>
          <w:lang w:val="en-AU"/>
        </w:rPr>
        <w:t xml:space="preserve"> (minimalno 15 ploča) ili </w:t>
      </w:r>
      <w:r w:rsidRPr="001201AA">
        <w:rPr>
          <w:rFonts w:ascii="Arial" w:hAnsi="Arial" w:cs="Arial"/>
          <w:lang w:val="en-AU"/>
        </w:rPr>
        <w:t xml:space="preserve">jažica </w:t>
      </w:r>
      <w:r>
        <w:rPr>
          <w:rFonts w:ascii="Arial" w:hAnsi="Arial" w:cs="Arial"/>
          <w:lang w:val="en-AU"/>
        </w:rPr>
        <w:t xml:space="preserve">testa MPN metode (minimalno 20 testova). </w:t>
      </w:r>
    </w:p>
    <w:p w14:paraId="50314DA8" w14:textId="10184353" w:rsidR="007C3478" w:rsidRDefault="007C3478" w:rsidP="007C3478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Iz razlik</w:t>
      </w:r>
      <w:r w:rsidR="00782110">
        <w:rPr>
          <w:rFonts w:ascii="Arial" w:hAnsi="Arial" w:cs="Arial"/>
          <w:lang w:val="en-AU"/>
        </w:rPr>
        <w:t>e</w:t>
      </w:r>
      <w:r>
        <w:rPr>
          <w:rFonts w:ascii="Arial" w:hAnsi="Arial" w:cs="Arial"/>
          <w:lang w:val="en-AU"/>
        </w:rPr>
        <w:t xml:space="preserve"> očitavanja se izračuna</w:t>
      </w:r>
      <w:r w:rsidR="00782110">
        <w:rPr>
          <w:rFonts w:ascii="Arial" w:hAnsi="Arial" w:cs="Arial"/>
          <w:lang w:val="en-AU"/>
        </w:rPr>
        <w:t>va</w:t>
      </w:r>
      <w:r>
        <w:rPr>
          <w:rFonts w:ascii="Arial" w:hAnsi="Arial" w:cs="Arial"/>
          <w:lang w:val="en-AU"/>
        </w:rPr>
        <w:t xml:space="preserve"> </w:t>
      </w:r>
      <w:r w:rsidR="009B625E">
        <w:rPr>
          <w:rFonts w:ascii="Arial" w:hAnsi="Arial" w:cs="Arial"/>
          <w:lang w:val="en-AU"/>
        </w:rPr>
        <w:t>relativna varijanca broje</w:t>
      </w:r>
      <w:r w:rsidRPr="00E16324">
        <w:rPr>
          <w:rFonts w:ascii="Arial" w:hAnsi="Arial" w:cs="Arial"/>
          <w:lang w:val="en-AU"/>
        </w:rPr>
        <w:t>nja</w:t>
      </w:r>
      <w:r>
        <w:rPr>
          <w:rFonts w:ascii="Arial" w:hAnsi="Arial" w:cs="Arial"/>
          <w:lang w:val="en-AU"/>
        </w:rPr>
        <w:t xml:space="preserve"> (</w:t>
      </w: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rel,L</w:t>
      </w:r>
      <w:r>
        <w:rPr>
          <w:rFonts w:ascii="Arial" w:hAnsi="Arial" w:cs="Arial"/>
          <w:lang w:val="en-AU"/>
        </w:rPr>
        <w:t>) prema sljedećoj formuli:</w:t>
      </w:r>
    </w:p>
    <w:p w14:paraId="0E7D075E" w14:textId="654F5BD6" w:rsidR="007C3478" w:rsidRPr="00307F36" w:rsidRDefault="007C3478" w:rsidP="007C3478">
      <w:pPr>
        <w:tabs>
          <w:tab w:val="num" w:pos="1260"/>
        </w:tabs>
        <w:jc w:val="center"/>
        <w:rPr>
          <w:rFonts w:ascii="Arial" w:hAnsi="Arial" w:cs="Arial"/>
          <w:lang w:val="en-AU"/>
        </w:rPr>
      </w:pPr>
      <w:r w:rsidRPr="00307F36">
        <w:rPr>
          <w:rFonts w:ascii="Arial" w:hAnsi="Arial" w:cs="Arial"/>
          <w:b/>
          <w:bCs/>
          <w:color w:val="000000"/>
        </w:rPr>
        <w:t>u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 xml:space="preserve">rel,L </w:t>
      </w:r>
      <w:r w:rsidRPr="00307F36">
        <w:rPr>
          <w:rFonts w:ascii="Arial" w:hAnsi="Arial" w:cs="Arial"/>
          <w:b/>
          <w:bCs/>
          <w:color w:val="000000"/>
        </w:rPr>
        <w:t>=(</w:t>
      </w:r>
      <w:r w:rsidRPr="00E63C1F">
        <w:rPr>
          <w:rFonts w:ascii="Arial" w:hAnsi="Arial" w:cs="Arial"/>
          <w:b/>
          <w:bCs/>
          <w:color w:val="000000"/>
        </w:rPr>
        <w:t>SD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color w:val="040C28"/>
          <w:sz w:val="30"/>
          <w:szCs w:val="30"/>
        </w:rPr>
        <w:t>x̄</w:t>
      </w:r>
      <w:r w:rsidRPr="00307F36">
        <w:rPr>
          <w:rFonts w:ascii="Arial" w:hAnsi="Arial" w:cs="Arial"/>
          <w:b/>
          <w:bCs/>
          <w:color w:val="000000"/>
        </w:rPr>
        <w:t>)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</w:p>
    <w:p w14:paraId="4E24B17A" w14:textId="7AE77484" w:rsidR="002530EA" w:rsidRPr="00D5578F" w:rsidRDefault="002530EA" w:rsidP="002530EA">
      <w:pPr>
        <w:tabs>
          <w:tab w:val="num" w:pos="1260"/>
        </w:tabs>
        <w:rPr>
          <w:rFonts w:ascii="Arial" w:hAnsi="Arial" w:cs="Arial"/>
          <w:lang w:val="en-AU"/>
        </w:rPr>
      </w:pPr>
      <w:proofErr w:type="spellStart"/>
      <w:r w:rsidRPr="00D5578F">
        <w:rPr>
          <w:rFonts w:ascii="Arial" w:hAnsi="Arial" w:cs="Arial"/>
          <w:lang w:val="en-AU"/>
        </w:rPr>
        <w:t>gdje</w:t>
      </w:r>
      <w:proofErr w:type="spellEnd"/>
      <w:r w:rsidRPr="00D5578F">
        <w:rPr>
          <w:rFonts w:ascii="Arial" w:hAnsi="Arial" w:cs="Arial"/>
          <w:lang w:val="en-AU"/>
        </w:rPr>
        <w:t xml:space="preserve"> je:</w:t>
      </w:r>
    </w:p>
    <w:p w14:paraId="70B970F4" w14:textId="77777777" w:rsidR="002530EA" w:rsidRPr="00D5578F" w:rsidRDefault="002530EA" w:rsidP="002530EA">
      <w:pPr>
        <w:tabs>
          <w:tab w:val="num" w:pos="12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SD</w:t>
      </w:r>
      <w:r w:rsidRPr="00D5578F">
        <w:rPr>
          <w:rFonts w:ascii="Arial" w:hAnsi="Arial" w:cs="Arial"/>
          <w:lang w:val="en-AU"/>
        </w:rPr>
        <w:t xml:space="preserve"> - standardna devijacija </w:t>
      </w:r>
      <w:r>
        <w:rPr>
          <w:rFonts w:ascii="Arial" w:hAnsi="Arial" w:cs="Arial"/>
          <w:lang w:val="en-AU"/>
        </w:rPr>
        <w:t>očitavanja</w:t>
      </w:r>
    </w:p>
    <w:p w14:paraId="152F4677" w14:textId="77777777" w:rsidR="002530EA" w:rsidRDefault="002530EA" w:rsidP="002530EA">
      <w:pPr>
        <w:tabs>
          <w:tab w:val="num" w:pos="1260"/>
        </w:tabs>
        <w:rPr>
          <w:rFonts w:ascii="Arial" w:hAnsi="Arial" w:cs="Arial"/>
          <w:lang w:val="en-AU"/>
        </w:rPr>
      </w:pPr>
      <w:r w:rsidRPr="00D5578F">
        <w:rPr>
          <w:rFonts w:ascii="Arial" w:hAnsi="Arial" w:cs="Arial"/>
          <w:lang w:val="en-AU"/>
        </w:rPr>
        <w:t xml:space="preserve">x̄- </w:t>
      </w:r>
      <w:r>
        <w:rPr>
          <w:rFonts w:ascii="Arial" w:hAnsi="Arial" w:cs="Arial"/>
          <w:lang w:val="en-AU"/>
        </w:rPr>
        <w:t>srednja vrijednost očitavanja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lang w:val="en-AU"/>
        </w:rPr>
        <w:t xml:space="preserve"> </w:t>
      </w:r>
    </w:p>
    <w:p w14:paraId="142349A5" w14:textId="7BDC5137" w:rsidR="00D5578F" w:rsidRDefault="00D5578F" w:rsidP="00782110">
      <w:pPr>
        <w:pStyle w:val="BodyTextIndent"/>
        <w:tabs>
          <w:tab w:val="clear" w:pos="1080"/>
          <w:tab w:val="left" w:pos="709"/>
        </w:tabs>
        <w:ind w:left="0"/>
        <w:rPr>
          <w:rFonts w:ascii="Arial" w:hAnsi="Arial" w:cs="Arial"/>
          <w:sz w:val="22"/>
          <w:szCs w:val="22"/>
        </w:rPr>
      </w:pPr>
    </w:p>
    <w:p w14:paraId="33A3FC64" w14:textId="26F4673A" w:rsidR="00782110" w:rsidRDefault="00782110" w:rsidP="00782110">
      <w:pPr>
        <w:pStyle w:val="BodyTextIndent"/>
        <w:tabs>
          <w:tab w:val="clear" w:pos="1080"/>
          <w:tab w:val="left" w:pos="709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82110">
        <w:rPr>
          <w:rFonts w:ascii="Arial" w:hAnsi="Arial" w:cs="Arial"/>
          <w:sz w:val="22"/>
          <w:szCs w:val="22"/>
        </w:rPr>
        <w:t>aboratorijska nesigurnost brojenja</w:t>
      </w:r>
      <w:r w:rsidRPr="00E63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izračunava </w:t>
      </w:r>
      <w:r w:rsidR="009B625E">
        <w:rPr>
          <w:rFonts w:ascii="Arial" w:hAnsi="Arial" w:cs="Arial"/>
          <w:sz w:val="22"/>
          <w:szCs w:val="22"/>
        </w:rPr>
        <w:t xml:space="preserve">iz </w:t>
      </w:r>
      <w:r w:rsidR="009B625E">
        <w:rPr>
          <w:rFonts w:ascii="Arial" w:hAnsi="Arial" w:cs="Arial"/>
          <w:sz w:val="22"/>
          <w:szCs w:val="22"/>
          <w:lang w:val="en-AU"/>
        </w:rPr>
        <w:t>relativne</w:t>
      </w:r>
      <w:r w:rsidR="009B625E" w:rsidRPr="009B625E">
        <w:rPr>
          <w:rFonts w:ascii="Arial" w:hAnsi="Arial" w:cs="Arial"/>
          <w:sz w:val="22"/>
          <w:szCs w:val="22"/>
          <w:lang w:val="en-AU"/>
        </w:rPr>
        <w:t xml:space="preserve"> varijanc</w:t>
      </w:r>
      <w:r w:rsidR="009B625E">
        <w:rPr>
          <w:rFonts w:ascii="Arial" w:hAnsi="Arial" w:cs="Arial"/>
          <w:sz w:val="22"/>
          <w:szCs w:val="22"/>
          <w:lang w:val="en-AU"/>
        </w:rPr>
        <w:t>e broje</w:t>
      </w:r>
      <w:r w:rsidR="009B625E" w:rsidRPr="009B625E">
        <w:rPr>
          <w:rFonts w:ascii="Arial" w:hAnsi="Arial" w:cs="Arial"/>
          <w:sz w:val="22"/>
          <w:szCs w:val="22"/>
          <w:lang w:val="en-AU"/>
        </w:rPr>
        <w:t>nja (</w:t>
      </w:r>
      <w:r w:rsidR="009B625E" w:rsidRPr="009B625E">
        <w:rPr>
          <w:rFonts w:ascii="Arial" w:hAnsi="Arial" w:cs="Arial"/>
          <w:b/>
          <w:bCs/>
          <w:sz w:val="22"/>
          <w:szCs w:val="22"/>
        </w:rPr>
        <w:t>u</w:t>
      </w:r>
      <w:r w:rsidR="009B625E" w:rsidRPr="009B625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9B625E" w:rsidRPr="009B625E">
        <w:rPr>
          <w:rFonts w:ascii="Arial" w:hAnsi="Arial" w:cs="Arial"/>
          <w:b/>
          <w:bCs/>
          <w:sz w:val="22"/>
          <w:szCs w:val="22"/>
          <w:vertAlign w:val="subscript"/>
        </w:rPr>
        <w:t>rel,L</w:t>
      </w:r>
      <w:r w:rsidR="009B625E" w:rsidRPr="009B625E">
        <w:rPr>
          <w:rFonts w:ascii="Arial" w:hAnsi="Arial" w:cs="Arial"/>
          <w:sz w:val="22"/>
          <w:szCs w:val="22"/>
          <w:lang w:val="en-AU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prema sljedećoj formuli: </w:t>
      </w:r>
    </w:p>
    <w:p w14:paraId="23653A6E" w14:textId="77777777" w:rsidR="00A92FD7" w:rsidRDefault="00A92FD7" w:rsidP="00DA3EE5">
      <w:pPr>
        <w:tabs>
          <w:tab w:val="num" w:pos="1260"/>
        </w:tabs>
        <w:rPr>
          <w:rFonts w:ascii="Arial" w:hAnsi="Arial" w:cs="Arial"/>
          <w:lang w:val="en-AU"/>
        </w:rPr>
      </w:pPr>
    </w:p>
    <w:p w14:paraId="45F38C51" w14:textId="032BCBDF" w:rsidR="00DA3EE5" w:rsidRPr="00307F36" w:rsidRDefault="00DA3EE5" w:rsidP="00DA3EE5">
      <w:pPr>
        <w:tabs>
          <w:tab w:val="num" w:pos="1260"/>
        </w:tabs>
        <w:rPr>
          <w:rFonts w:ascii="Calibri" w:hAnsi="Calibri" w:cs="Arial"/>
          <w:b/>
          <w:color w:val="000000"/>
        </w:rPr>
      </w:pPr>
      <w:r w:rsidRPr="00307F36">
        <w:rPr>
          <w:rFonts w:ascii="Arial" w:hAnsi="Arial" w:cs="Arial"/>
          <w:b/>
          <w:lang w:val="en-AU"/>
        </w:rPr>
        <w:t>Prosječna relativna laboratorijska nesigurnost brojanja kolektiva</w:t>
      </w:r>
      <w:r w:rsidR="00782110">
        <w:rPr>
          <w:rFonts w:ascii="Arial" w:hAnsi="Arial" w:cs="Arial"/>
          <w:b/>
          <w:lang w:val="en-AU"/>
        </w:rPr>
        <w:t xml:space="preserve"> </w:t>
      </w:r>
      <w:r w:rsidRPr="00307F36">
        <w:rPr>
          <w:rFonts w:ascii="Arial" w:hAnsi="Arial" w:cs="Arial"/>
          <w:b/>
          <w:lang w:val="en-AU"/>
        </w:rPr>
        <w:t xml:space="preserve">(laboratorijska </w:t>
      </w:r>
      <w:r w:rsidR="00782110">
        <w:rPr>
          <w:rFonts w:ascii="Arial" w:hAnsi="Arial" w:cs="Arial"/>
          <w:b/>
          <w:lang w:val="en-AU"/>
        </w:rPr>
        <w:t>n</w:t>
      </w:r>
      <w:r w:rsidRPr="00307F36">
        <w:rPr>
          <w:rFonts w:ascii="Arial" w:hAnsi="Arial" w:cs="Arial"/>
          <w:b/>
          <w:lang w:val="en-AU"/>
        </w:rPr>
        <w:t xml:space="preserve">esigurnost brojenja)= </w:t>
      </w:r>
      <w:r w:rsidRPr="00307F36">
        <w:rPr>
          <w:rFonts w:ascii="Calibri" w:hAnsi="Calibri" w:cs="Arial"/>
          <w:b/>
          <w:color w:val="000000"/>
        </w:rPr>
        <w:t>√(</w:t>
      </w:r>
      <w:r w:rsidRPr="00307F36">
        <w:rPr>
          <w:rFonts w:ascii="Arial" w:hAnsi="Arial" w:cs="Arial"/>
          <w:b/>
          <w:bCs/>
          <w:color w:val="000000"/>
          <w:sz w:val="16"/>
          <w:szCs w:val="16"/>
        </w:rPr>
        <w:t>prosjek</w:t>
      </w:r>
      <w:r w:rsidRPr="00307F36">
        <w:rPr>
          <w:rFonts w:ascii="Arial" w:hAnsi="Arial" w:cs="Arial"/>
          <w:b/>
          <w:bCs/>
          <w:color w:val="000000"/>
        </w:rPr>
        <w:t xml:space="preserve"> u</w:t>
      </w:r>
      <w:r w:rsidRPr="00307F36">
        <w:rPr>
          <w:rFonts w:ascii="Arial" w:hAnsi="Arial" w:cs="Arial"/>
          <w:b/>
          <w:bCs/>
          <w:color w:val="000000"/>
          <w:vertAlign w:val="superscript"/>
        </w:rPr>
        <w:t>2</w:t>
      </w:r>
      <w:r w:rsidRPr="00307F36">
        <w:rPr>
          <w:rFonts w:ascii="Arial" w:hAnsi="Arial" w:cs="Arial"/>
          <w:b/>
          <w:bCs/>
          <w:color w:val="000000"/>
          <w:vertAlign w:val="subscript"/>
        </w:rPr>
        <w:t>rel,L</w:t>
      </w:r>
      <w:r w:rsidRPr="00307F36">
        <w:rPr>
          <w:rFonts w:ascii="Calibri" w:hAnsi="Calibri" w:cs="Arial"/>
          <w:b/>
          <w:color w:val="000000"/>
        </w:rPr>
        <w:t xml:space="preserve">)*100 </w:t>
      </w:r>
    </w:p>
    <w:p w14:paraId="5C534F2B" w14:textId="56411A32" w:rsidR="00D5578F" w:rsidRDefault="00B96B95" w:rsidP="00D5578F">
      <w:pPr>
        <w:tabs>
          <w:tab w:val="num" w:pos="1260"/>
        </w:tabs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I</w:t>
      </w:r>
      <w:r w:rsidR="00A92FD7" w:rsidRPr="007C3478">
        <w:rPr>
          <w:rFonts w:ascii="Arial" w:hAnsi="Arial" w:cs="Arial"/>
          <w:lang w:val="en-AU"/>
        </w:rPr>
        <w:t>zražava</w:t>
      </w:r>
      <w:proofErr w:type="spellEnd"/>
      <w:r w:rsidR="00A92FD7" w:rsidRPr="007C347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se </w:t>
      </w:r>
      <w:r w:rsidR="00A92FD7" w:rsidRPr="007C3478">
        <w:rPr>
          <w:rFonts w:ascii="Arial" w:hAnsi="Arial" w:cs="Arial"/>
          <w:lang w:val="en-AU"/>
        </w:rPr>
        <w:t xml:space="preserve">u </w:t>
      </w:r>
      <w:proofErr w:type="spellStart"/>
      <w:r w:rsidR="00A92FD7" w:rsidRPr="007C3478">
        <w:rPr>
          <w:rFonts w:ascii="Arial" w:hAnsi="Arial" w:cs="Arial"/>
          <w:lang w:val="en-AU"/>
        </w:rPr>
        <w:t>postotcima</w:t>
      </w:r>
      <w:proofErr w:type="spellEnd"/>
      <w:r w:rsidR="00A92FD7" w:rsidRPr="007C3478">
        <w:rPr>
          <w:rFonts w:ascii="Arial" w:hAnsi="Arial" w:cs="Arial"/>
          <w:lang w:val="en-AU"/>
        </w:rPr>
        <w:t>.</w:t>
      </w:r>
    </w:p>
    <w:p w14:paraId="434C84C0" w14:textId="77777777" w:rsidR="002F364B" w:rsidRDefault="002F364B" w:rsidP="00D5578F">
      <w:pPr>
        <w:tabs>
          <w:tab w:val="num" w:pos="1260"/>
        </w:tabs>
        <w:rPr>
          <w:rFonts w:ascii="Arial" w:hAnsi="Arial" w:cs="Arial"/>
          <w:lang w:val="en-AU"/>
        </w:rPr>
      </w:pPr>
    </w:p>
    <w:p w14:paraId="1ACC6308" w14:textId="0310F912" w:rsidR="00782110" w:rsidRPr="00782110" w:rsidRDefault="00782110" w:rsidP="00D5578F">
      <w:pPr>
        <w:tabs>
          <w:tab w:val="num" w:pos="1260"/>
        </w:tabs>
        <w:rPr>
          <w:rFonts w:ascii="Arial" w:hAnsi="Arial" w:cs="Arial"/>
          <w:bCs/>
          <w:lang w:val="x-none"/>
        </w:rPr>
      </w:pPr>
      <w:r w:rsidRPr="00782110">
        <w:rPr>
          <w:rFonts w:ascii="Arial" w:hAnsi="Arial" w:cs="Arial"/>
          <w:bCs/>
          <w:lang w:val="x-none"/>
        </w:rPr>
        <w:lastRenderedPageBreak/>
        <w:t>Individualna nesigurnost brojanja</w:t>
      </w:r>
      <w:r>
        <w:rPr>
          <w:rFonts w:ascii="Arial" w:hAnsi="Arial" w:cs="Arial"/>
          <w:bCs/>
        </w:rPr>
        <w:t xml:space="preserve"> bi trebala biti </w:t>
      </w:r>
      <w:r>
        <w:rPr>
          <w:rFonts w:ascii="Arial" w:hAnsi="Arial" w:cs="Arial"/>
          <w:bCs/>
          <w:lang w:val="x-none"/>
        </w:rPr>
        <w:t xml:space="preserve">&lt;3%, a </w:t>
      </w:r>
      <w:r>
        <w:rPr>
          <w:rFonts w:ascii="Arial" w:hAnsi="Arial" w:cs="Arial"/>
          <w:bCs/>
        </w:rPr>
        <w:t>l</w:t>
      </w:r>
      <w:r w:rsidRPr="00782110">
        <w:rPr>
          <w:rFonts w:ascii="Arial" w:hAnsi="Arial" w:cs="Arial"/>
          <w:bCs/>
          <w:lang w:val="x-none"/>
        </w:rPr>
        <w:t>aboratorijsk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x-none"/>
        </w:rPr>
        <w:t xml:space="preserve"> nesigurnost brojanja &lt;5%.</w:t>
      </w:r>
    </w:p>
    <w:p w14:paraId="4238E654" w14:textId="77777777" w:rsidR="00782110" w:rsidRDefault="00782110" w:rsidP="00782110">
      <w:pPr>
        <w:pStyle w:val="BodyTextIndent"/>
        <w:tabs>
          <w:tab w:val="left" w:pos="709"/>
        </w:tabs>
        <w:ind w:left="0"/>
        <w:rPr>
          <w:rFonts w:ascii="Arial" w:hAnsi="Arial" w:cs="Arial"/>
          <w:b/>
          <w:bCs/>
        </w:rPr>
      </w:pPr>
    </w:p>
    <w:p w14:paraId="287E6320" w14:textId="77777777" w:rsidR="0040296A" w:rsidRDefault="0040296A" w:rsidP="0040296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Primjer dostupan u </w:t>
      </w:r>
      <w:bookmarkStart w:id="0" w:name="_Hlk168476784"/>
      <w:bookmarkStart w:id="1" w:name="_GoBack"/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Prilogu 2a. Predložak za verifikaciju</w:t>
      </w:r>
      <w:r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mikrobiološke metode</w:t>
      </w:r>
      <w:bookmarkEnd w:id="0"/>
      <w:bookmarkEnd w:id="1"/>
    </w:p>
    <w:p w14:paraId="2DB6E020" w14:textId="77777777" w:rsidR="002530EA" w:rsidRDefault="002530E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0F58193B" w14:textId="4930ED74" w:rsidR="002530EA" w:rsidRDefault="002530EA" w:rsidP="002530E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Napomena: U </w:t>
      </w:r>
      <w:r w:rsidR="009233BE">
        <w:rPr>
          <w:rFonts w:ascii="Arial" w:eastAsia="Times New Roman" w:hAnsi="Arial" w:cs="Arial"/>
          <w:b/>
          <w:bCs/>
          <w:kern w:val="0"/>
          <w:lang w:eastAsia="x-none"/>
          <w14:ligatures w14:val="none"/>
        </w:rPr>
        <w:t>P</w:t>
      </w:r>
      <w:r w:rsidR="009233B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redlošku za v</w:t>
      </w:r>
      <w:r w:rsidRPr="00864627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erifikacij</w:t>
      </w:r>
      <w:r w:rsidR="009233B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u</w:t>
      </w:r>
      <w:r w:rsidRPr="00864627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mikrobiološke metode</w:t>
      </w:r>
      <w:r w:rsidRPr="00B36E44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.xlsx</w:t>
      </w: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dan je primjer izračuna nesigurnosti brojenja metodom brojanja kolonija i nesigurnosti brojenja MPN metoda.</w:t>
      </w:r>
    </w:p>
    <w:p w14:paraId="429CB402" w14:textId="77777777" w:rsidR="002530EA" w:rsidRDefault="002530E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5C8F2FBC" w14:textId="5D2EC149" w:rsidR="002530EA" w:rsidRPr="007C0920" w:rsidRDefault="002530E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sectPr w:rsidR="002530EA" w:rsidRPr="007C0920" w:rsidSect="00957C5B">
      <w:headerReference w:type="default" r:id="rId9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CB7656C" w16cex:dateUtc="2024-05-22T11:35:00Z"/>
  <w16cex:commentExtensible w16cex:durableId="574350B3" w16cex:dateUtc="2024-05-22T11:42:00Z"/>
  <w16cex:commentExtensible w16cex:durableId="7BA1254A" w16cex:dateUtc="2024-05-22T1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34E3" w14:textId="77777777" w:rsidR="001A6FDB" w:rsidRDefault="001A6FDB" w:rsidP="003B5BA3">
      <w:pPr>
        <w:spacing w:after="0" w:line="240" w:lineRule="auto"/>
      </w:pPr>
      <w:r>
        <w:separator/>
      </w:r>
    </w:p>
  </w:endnote>
  <w:endnote w:type="continuationSeparator" w:id="0">
    <w:p w14:paraId="2B536F48" w14:textId="77777777" w:rsidR="001A6FDB" w:rsidRDefault="001A6FDB" w:rsidP="003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CAFE" w14:textId="77777777" w:rsidR="001A6FDB" w:rsidRDefault="001A6FDB" w:rsidP="003B5BA3">
      <w:pPr>
        <w:spacing w:after="0" w:line="240" w:lineRule="auto"/>
      </w:pPr>
      <w:r>
        <w:separator/>
      </w:r>
    </w:p>
  </w:footnote>
  <w:footnote w:type="continuationSeparator" w:id="0">
    <w:p w14:paraId="7924B167" w14:textId="77777777" w:rsidR="001A6FDB" w:rsidRDefault="001A6FDB" w:rsidP="003B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C7C8" w14:textId="3D848C2C" w:rsidR="003B5BA3" w:rsidRPr="003D4062" w:rsidRDefault="003B5BA3" w:rsidP="003D4062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E88"/>
    <w:multiLevelType w:val="hybridMultilevel"/>
    <w:tmpl w:val="0C380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101A"/>
    <w:multiLevelType w:val="multilevel"/>
    <w:tmpl w:val="B9A8F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324C4AFF"/>
    <w:multiLevelType w:val="multilevel"/>
    <w:tmpl w:val="0B5E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F20CB8"/>
    <w:multiLevelType w:val="hybridMultilevel"/>
    <w:tmpl w:val="A126C8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1089"/>
    <w:multiLevelType w:val="hybridMultilevel"/>
    <w:tmpl w:val="5E24EA88"/>
    <w:lvl w:ilvl="0" w:tplc="8EC8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6B4D"/>
    <w:multiLevelType w:val="hybridMultilevel"/>
    <w:tmpl w:val="9BA825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1214"/>
    <w:multiLevelType w:val="hybridMultilevel"/>
    <w:tmpl w:val="5EAC56FA"/>
    <w:lvl w:ilvl="0" w:tplc="F740D9EC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10BC"/>
    <w:multiLevelType w:val="hybridMultilevel"/>
    <w:tmpl w:val="9F6224D6"/>
    <w:lvl w:ilvl="0" w:tplc="BBEE4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92AE0"/>
    <w:multiLevelType w:val="hybridMultilevel"/>
    <w:tmpl w:val="60169F9E"/>
    <w:lvl w:ilvl="0" w:tplc="BCAC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B9644A"/>
    <w:multiLevelType w:val="multilevel"/>
    <w:tmpl w:val="0B5E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A3"/>
    <w:rsid w:val="00024B13"/>
    <w:rsid w:val="00037E28"/>
    <w:rsid w:val="000B32E4"/>
    <w:rsid w:val="001201AA"/>
    <w:rsid w:val="001A0857"/>
    <w:rsid w:val="001A6FDB"/>
    <w:rsid w:val="001D3B4D"/>
    <w:rsid w:val="00233462"/>
    <w:rsid w:val="002530EA"/>
    <w:rsid w:val="0026508F"/>
    <w:rsid w:val="0026576D"/>
    <w:rsid w:val="002A6EF2"/>
    <w:rsid w:val="002E45EE"/>
    <w:rsid w:val="002F364B"/>
    <w:rsid w:val="00344E93"/>
    <w:rsid w:val="00354E32"/>
    <w:rsid w:val="00356C1F"/>
    <w:rsid w:val="003A6437"/>
    <w:rsid w:val="003B51E4"/>
    <w:rsid w:val="003B5BA3"/>
    <w:rsid w:val="003D4062"/>
    <w:rsid w:val="0040296A"/>
    <w:rsid w:val="0044307C"/>
    <w:rsid w:val="00462454"/>
    <w:rsid w:val="004859D9"/>
    <w:rsid w:val="00493EB1"/>
    <w:rsid w:val="004E48FA"/>
    <w:rsid w:val="005F5AAB"/>
    <w:rsid w:val="00623595"/>
    <w:rsid w:val="006479B5"/>
    <w:rsid w:val="00654550"/>
    <w:rsid w:val="00660C48"/>
    <w:rsid w:val="00663DBE"/>
    <w:rsid w:val="006A74F7"/>
    <w:rsid w:val="006C3A79"/>
    <w:rsid w:val="00735BE3"/>
    <w:rsid w:val="00756E8F"/>
    <w:rsid w:val="00782110"/>
    <w:rsid w:val="007C0920"/>
    <w:rsid w:val="007C3478"/>
    <w:rsid w:val="00864627"/>
    <w:rsid w:val="00905D5E"/>
    <w:rsid w:val="009233BE"/>
    <w:rsid w:val="00926481"/>
    <w:rsid w:val="00947A2B"/>
    <w:rsid w:val="00957C5B"/>
    <w:rsid w:val="00975663"/>
    <w:rsid w:val="009A2D05"/>
    <w:rsid w:val="009B625E"/>
    <w:rsid w:val="00A07967"/>
    <w:rsid w:val="00A31D7B"/>
    <w:rsid w:val="00A46E27"/>
    <w:rsid w:val="00A70565"/>
    <w:rsid w:val="00A873A5"/>
    <w:rsid w:val="00A92FD7"/>
    <w:rsid w:val="00AA6848"/>
    <w:rsid w:val="00B15C52"/>
    <w:rsid w:val="00B21C41"/>
    <w:rsid w:val="00B36E44"/>
    <w:rsid w:val="00B96B95"/>
    <w:rsid w:val="00BB2F0A"/>
    <w:rsid w:val="00BB7BDF"/>
    <w:rsid w:val="00BC1278"/>
    <w:rsid w:val="00BC7DA8"/>
    <w:rsid w:val="00BE2B95"/>
    <w:rsid w:val="00C67256"/>
    <w:rsid w:val="00CA249F"/>
    <w:rsid w:val="00CB3BC3"/>
    <w:rsid w:val="00CB3BF2"/>
    <w:rsid w:val="00D467EC"/>
    <w:rsid w:val="00D5578F"/>
    <w:rsid w:val="00D97813"/>
    <w:rsid w:val="00DA3EE5"/>
    <w:rsid w:val="00DD2CEE"/>
    <w:rsid w:val="00E07461"/>
    <w:rsid w:val="00E16324"/>
    <w:rsid w:val="00E33ED6"/>
    <w:rsid w:val="00E63C1F"/>
    <w:rsid w:val="00E951A0"/>
    <w:rsid w:val="00E958BD"/>
    <w:rsid w:val="00EA2736"/>
    <w:rsid w:val="00F03501"/>
    <w:rsid w:val="00F2036D"/>
    <w:rsid w:val="00F32A74"/>
    <w:rsid w:val="00F73DB0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I"/>
  <w14:docId w14:val="531BA8F8"/>
  <w15:chartTrackingRefBased/>
  <w15:docId w15:val="{14446F91-C175-4E30-A050-26D2D08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A3"/>
  </w:style>
  <w:style w:type="paragraph" w:styleId="Footer">
    <w:name w:val="footer"/>
    <w:basedOn w:val="Normal"/>
    <w:link w:val="FooterChar"/>
    <w:uiPriority w:val="99"/>
    <w:unhideWhenUsed/>
    <w:rsid w:val="003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A3"/>
  </w:style>
  <w:style w:type="paragraph" w:styleId="ListParagraph">
    <w:name w:val="List Paragraph"/>
    <w:basedOn w:val="Normal"/>
    <w:uiPriority w:val="34"/>
    <w:qFormat/>
    <w:rsid w:val="003B5BA3"/>
    <w:pPr>
      <w:ind w:left="720"/>
      <w:contextualSpacing/>
    </w:pPr>
  </w:style>
  <w:style w:type="paragraph" w:customStyle="1" w:styleId="BodyTextIndent">
    <w:name w:val="Body TextIndent"/>
    <w:basedOn w:val="Normal"/>
    <w:link w:val="BodyTextIndentChar"/>
    <w:semiHidden/>
    <w:rsid w:val="00F03501"/>
    <w:pPr>
      <w:tabs>
        <w:tab w:val="left" w:pos="108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dyTextIndentChar">
    <w:name w:val="Body TextIndent Char"/>
    <w:basedOn w:val="DefaultParagraphFont"/>
    <w:link w:val="BodyTextIndent"/>
    <w:semiHidden/>
    <w:rsid w:val="00F03501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Revision">
    <w:name w:val="Revision"/>
    <w:hidden/>
    <w:uiPriority w:val="99"/>
    <w:semiHidden/>
    <w:rsid w:val="00CA24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3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Živković</dc:creator>
  <cp:keywords/>
  <dc:description/>
  <cp:lastModifiedBy>Magdalena Ujević</cp:lastModifiedBy>
  <cp:revision>6</cp:revision>
  <cp:lastPrinted>2024-05-20T07:39:00Z</cp:lastPrinted>
  <dcterms:created xsi:type="dcterms:W3CDTF">2024-05-24T13:38:00Z</dcterms:created>
  <dcterms:modified xsi:type="dcterms:W3CDTF">2024-06-05T08:46:00Z</dcterms:modified>
</cp:coreProperties>
</file>